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D4F36" w14:textId="77777777" w:rsidR="00513268" w:rsidRPr="00352C77" w:rsidRDefault="00513268" w:rsidP="00A623D5">
      <w:pPr>
        <w:spacing w:before="240" w:after="80" w:line="360" w:lineRule="auto"/>
        <w:jc w:val="center"/>
        <w:rPr>
          <w:rFonts w:ascii="Times New Roman" w:hAnsi="Times New Roman" w:cs="Times New Roman"/>
          <w:b/>
          <w:bCs/>
          <w:sz w:val="30"/>
          <w:szCs w:val="30"/>
        </w:rPr>
      </w:pPr>
      <w:r>
        <w:rPr>
          <w:rFonts w:ascii="Times New Roman" w:hAnsi="Times New Roman" w:cs="Times New Roman"/>
          <w:noProof/>
        </w:rPr>
        <w:drawing>
          <wp:anchor distT="0" distB="0" distL="114300" distR="114300" simplePos="0" relativeHeight="251659264" behindDoc="1" locked="0" layoutInCell="0" allowOverlap="1" wp14:anchorId="62E8FC79" wp14:editId="1F2AA95E">
            <wp:simplePos x="0" y="0"/>
            <wp:positionH relativeFrom="margin">
              <wp:posOffset>-488950</wp:posOffset>
            </wp:positionH>
            <wp:positionV relativeFrom="margin">
              <wp:posOffset>-463550</wp:posOffset>
            </wp:positionV>
            <wp:extent cx="7080250" cy="1327150"/>
            <wp:effectExtent l="0" t="0" r="6350" b="6350"/>
            <wp:wrapNone/>
            <wp:docPr id="23" name="drawingObject23"/>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8"/>
                    <a:stretch/>
                  </pic:blipFill>
                  <pic:spPr>
                    <a:xfrm>
                      <a:off x="0" y="0"/>
                      <a:ext cx="7080250" cy="1327150"/>
                    </a:xfrm>
                    <a:prstGeom prst="rect">
                      <a:avLst/>
                    </a:prstGeom>
                    <a:noFill/>
                  </pic:spPr>
                </pic:pic>
              </a:graphicData>
            </a:graphic>
            <wp14:sizeRelH relativeFrom="margin">
              <wp14:pctWidth>0</wp14:pctWidth>
            </wp14:sizeRelH>
            <wp14:sizeRelV relativeFrom="margin">
              <wp14:pctHeight>0</wp14:pctHeight>
            </wp14:sizeRelV>
          </wp:anchor>
        </w:drawing>
      </w:r>
    </w:p>
    <w:p w14:paraId="7B348A87" w14:textId="77777777" w:rsidR="00513268" w:rsidRPr="00352C77" w:rsidRDefault="00513268" w:rsidP="00A623D5">
      <w:pPr>
        <w:spacing w:before="240" w:after="80" w:line="360" w:lineRule="auto"/>
        <w:jc w:val="center"/>
        <w:rPr>
          <w:rFonts w:ascii="Times New Roman" w:hAnsi="Times New Roman" w:cs="Times New Roman"/>
          <w:b/>
          <w:bCs/>
          <w:sz w:val="30"/>
          <w:szCs w:val="30"/>
        </w:rPr>
      </w:pPr>
    </w:p>
    <w:p w14:paraId="29B35AED" w14:textId="77777777" w:rsidR="00DB0109" w:rsidRPr="00352C77" w:rsidRDefault="007B6AAF" w:rsidP="00A623D5">
      <w:pPr>
        <w:spacing w:before="240" w:after="80" w:line="360" w:lineRule="auto"/>
        <w:jc w:val="center"/>
        <w:rPr>
          <w:rFonts w:ascii="Times New Roman" w:hAnsi="Times New Roman" w:cs="Times New Roman"/>
        </w:rPr>
      </w:pPr>
      <w:r>
        <w:rPr>
          <w:rFonts w:ascii="Times New Roman" w:hAnsi="Times New Roman" w:cs="Times New Roman"/>
          <w:b/>
          <w:bCs/>
          <w:sz w:val="30"/>
          <w:szCs w:val="30"/>
        </w:rPr>
        <w:t>BUSITEMA UNIVERSITY</w:t>
      </w:r>
    </w:p>
    <w:p w14:paraId="60B3EF91" w14:textId="77777777" w:rsidR="00DB0109" w:rsidRPr="00352C77" w:rsidRDefault="007B6AAF" w:rsidP="00A623D5">
      <w:pPr>
        <w:spacing w:after="40" w:line="360" w:lineRule="auto"/>
        <w:jc w:val="center"/>
        <w:rPr>
          <w:rFonts w:ascii="Times New Roman" w:hAnsi="Times New Roman" w:cs="Times New Roman"/>
        </w:rPr>
      </w:pPr>
      <w:r>
        <w:rPr>
          <w:rFonts w:ascii="Times New Roman" w:hAnsi="Times New Roman" w:cs="Times New Roman"/>
          <w:b/>
          <w:bCs/>
          <w:sz w:val="22"/>
          <w:szCs w:val="22"/>
        </w:rPr>
        <w:t>FACULTY OF NATURAL RESOURCES AND ENVIRONMENTAL SCIENCES</w:t>
      </w:r>
    </w:p>
    <w:p w14:paraId="71FA73BA" w14:textId="77777777" w:rsidR="00DB0109" w:rsidRPr="00352C77" w:rsidRDefault="007B6AAF" w:rsidP="00A623D5">
      <w:pPr>
        <w:spacing w:after="360" w:line="360" w:lineRule="auto"/>
        <w:jc w:val="center"/>
        <w:rPr>
          <w:rFonts w:ascii="Times New Roman" w:hAnsi="Times New Roman" w:cs="Times New Roman"/>
        </w:rPr>
      </w:pPr>
      <w:r>
        <w:rPr>
          <w:rFonts w:ascii="Times New Roman" w:hAnsi="Times New Roman" w:cs="Times New Roman"/>
          <w:b/>
          <w:bCs/>
          <w:sz w:val="22"/>
          <w:szCs w:val="22"/>
        </w:rPr>
        <w:t>DEPARTMENT OF FISHERIES AND WATER RESOURCES MANAGEMENT</w:t>
      </w:r>
    </w:p>
    <w:p w14:paraId="30368F8C" w14:textId="77777777" w:rsidR="00DB0109" w:rsidRPr="00352C77" w:rsidRDefault="007B6AAF" w:rsidP="00A623D5">
      <w:pPr>
        <w:spacing w:before="240" w:after="240" w:line="360" w:lineRule="auto"/>
        <w:jc w:val="center"/>
        <w:rPr>
          <w:rFonts w:ascii="Times New Roman" w:hAnsi="Times New Roman" w:cs="Times New Roman"/>
        </w:rPr>
      </w:pPr>
      <w:r>
        <w:rPr>
          <w:rFonts w:ascii="Times New Roman" w:hAnsi="Times New Roman" w:cs="Times New Roman"/>
          <w:b/>
          <w:bCs/>
          <w:sz w:val="30"/>
          <w:szCs w:val="30"/>
        </w:rPr>
        <w:t>USING NDVI AND NDWI INDICES TO ASSESS THE SPATIAL, TEMPORAL AND SEASONAL SPREAD OF AQUATIC WEEDS ON LAKE WAMALA, UGANDA (2017–2025).</w:t>
      </w:r>
    </w:p>
    <w:p w14:paraId="382DB3C5" w14:textId="77777777" w:rsidR="00DB0109" w:rsidRPr="00352C77" w:rsidRDefault="007B6AAF" w:rsidP="00A623D5">
      <w:pPr>
        <w:spacing w:after="80" w:line="360" w:lineRule="auto"/>
        <w:jc w:val="center"/>
        <w:rPr>
          <w:rFonts w:ascii="Times New Roman" w:hAnsi="Times New Roman" w:cs="Times New Roman"/>
        </w:rPr>
      </w:pPr>
      <w:r>
        <w:rPr>
          <w:rFonts w:ascii="Times New Roman" w:hAnsi="Times New Roman" w:cs="Times New Roman"/>
          <w:sz w:val="22"/>
          <w:szCs w:val="22"/>
        </w:rPr>
        <w:t>BY</w:t>
      </w:r>
    </w:p>
    <w:p w14:paraId="4C565219" w14:textId="77777777" w:rsidR="00DB0109" w:rsidRPr="00352C77" w:rsidRDefault="007B6AAF" w:rsidP="00A623D5">
      <w:pPr>
        <w:spacing w:after="60" w:line="360" w:lineRule="auto"/>
        <w:jc w:val="center"/>
        <w:rPr>
          <w:rFonts w:ascii="Times New Roman" w:hAnsi="Times New Roman" w:cs="Times New Roman"/>
        </w:rPr>
      </w:pPr>
      <w:r>
        <w:rPr>
          <w:rFonts w:ascii="Times New Roman" w:hAnsi="Times New Roman" w:cs="Times New Roman"/>
          <w:b/>
          <w:bCs/>
          <w:sz w:val="26"/>
          <w:szCs w:val="26"/>
        </w:rPr>
        <w:t>KAVUBU OSCAR GODFREY</w:t>
      </w:r>
    </w:p>
    <w:p w14:paraId="26987881" w14:textId="77777777" w:rsidR="00DB0109" w:rsidRPr="00352C77" w:rsidRDefault="007B6AAF" w:rsidP="00A623D5">
      <w:pPr>
        <w:spacing w:after="480" w:line="360" w:lineRule="auto"/>
        <w:jc w:val="center"/>
        <w:rPr>
          <w:rFonts w:ascii="Times New Roman" w:hAnsi="Times New Roman" w:cs="Times New Roman"/>
        </w:rPr>
      </w:pPr>
      <w:r>
        <w:rPr>
          <w:rFonts w:ascii="Times New Roman" w:hAnsi="Times New Roman" w:cs="Times New Roman"/>
          <w:b/>
          <w:bCs/>
          <w:sz w:val="22"/>
          <w:szCs w:val="22"/>
        </w:rPr>
        <w:t>REG. NO. BU/UG/2023/2268</w:t>
      </w:r>
    </w:p>
    <w:p w14:paraId="4253A429" w14:textId="77777777" w:rsidR="00DB0109" w:rsidRPr="005B14F2" w:rsidRDefault="007B6AAF" w:rsidP="00A623D5">
      <w:pPr>
        <w:spacing w:after="480" w:line="360" w:lineRule="auto"/>
        <w:jc w:val="center"/>
        <w:rPr>
          <w:rFonts w:ascii="Times New Roman" w:hAnsi="Times New Roman" w:cs="Times New Roman"/>
        </w:rPr>
      </w:pPr>
      <w:r>
        <w:rPr>
          <w:rFonts w:ascii="Times New Roman" w:hAnsi="Times New Roman" w:cs="Times New Roman"/>
        </w:rPr>
        <w:t>A research report submitted to the Department of Fisheries and Water Resources Management, Faculty of Natural Resources and Environmental Sciences, in partial fulfilment of the requirements for the award of the degree of Bachelor of Science in Fisheries and Water Resources Management of Busitema University</w:t>
      </w:r>
    </w:p>
    <w:p w14:paraId="1DCD94AF" w14:textId="77777777" w:rsidR="00DB0109" w:rsidRPr="00352C77" w:rsidRDefault="007B6AAF" w:rsidP="00A623D5">
      <w:pPr>
        <w:spacing w:after="360" w:line="360" w:lineRule="auto"/>
        <w:jc w:val="center"/>
        <w:rPr>
          <w:rFonts w:ascii="Times New Roman" w:hAnsi="Times New Roman" w:cs="Times New Roman"/>
        </w:rPr>
      </w:pPr>
      <w:r>
        <w:rPr>
          <w:rFonts w:ascii="Times New Roman" w:hAnsi="Times New Roman" w:cs="Times New Roman"/>
          <w:b/>
          <w:bCs/>
          <w:sz w:val="22"/>
          <w:szCs w:val="22"/>
        </w:rPr>
        <w:t>SUPERVISOR: Prof. ISABIRYE MOSES</w:t>
      </w:r>
    </w:p>
    <w:p w14:paraId="72CDC49A" w14:textId="77777777" w:rsidR="00DB0109" w:rsidRPr="00352C77" w:rsidRDefault="007B6AAF" w:rsidP="00A623D5">
      <w:pPr>
        <w:spacing w:after="80" w:line="360" w:lineRule="auto"/>
        <w:jc w:val="center"/>
        <w:rPr>
          <w:rFonts w:ascii="Times New Roman" w:hAnsi="Times New Roman" w:cs="Times New Roman"/>
        </w:rPr>
      </w:pPr>
      <w:r>
        <w:rPr>
          <w:rFonts w:ascii="Times New Roman" w:hAnsi="Times New Roman" w:cs="Times New Roman"/>
          <w:b/>
          <w:bCs/>
        </w:rPr>
        <w:t>JUNE 2026</w:t>
      </w:r>
    </w:p>
    <w:p w14:paraId="5AFC4FA4"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rPr>
        <w:br w:type="page"/>
      </w:r>
    </w:p>
    <w:p w14:paraId="1C881E9F" w14:textId="77777777" w:rsidR="00DB0109" w:rsidRPr="00352C77" w:rsidRDefault="007B6AAF" w:rsidP="00A623D5">
      <w:pPr>
        <w:pStyle w:val="Heading1"/>
        <w:spacing w:line="360" w:lineRule="auto"/>
        <w:rPr>
          <w:rFonts w:ascii="Times New Roman" w:hAnsi="Times New Roman" w:cs="Times New Roman"/>
        </w:rPr>
      </w:pPr>
      <w:bookmarkStart w:id="0" w:name="_Toc237884254"/>
      <w:r>
        <w:rPr>
          <w:rFonts w:ascii="Times New Roman" w:hAnsi="Times New Roman" w:cs="Times New Roman"/>
        </w:rPr>
        <w:lastRenderedPageBreak/>
        <w:t>DECLARATION</w:t>
      </w:r>
      <w:bookmarkEnd w:id="0"/>
    </w:p>
    <w:p w14:paraId="2D0B7DA6" w14:textId="5438446F"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I, KAVUBU OSCAR GODFREY, Registration Number BU/UG/2023/2268, do hereby declare that this research report is my own original work and has not been submitted to any other university or institution of higher learning for any academic award. Where the work of others has been used, it has been duly acknowledged and referenced. This report is a product of my own investigation and analysis carried out under the guidance of my supervisor.</w:t>
      </w:r>
    </w:p>
    <w:p w14:paraId="2ED7777C" w14:textId="77777777" w:rsidR="001C24A6" w:rsidRDefault="001C24A6" w:rsidP="00A623D5">
      <w:pPr>
        <w:spacing w:before="480" w:line="360" w:lineRule="auto"/>
        <w:rPr>
          <w:rFonts w:ascii="Times New Roman" w:hAnsi="Times New Roman" w:cs="Times New Roman"/>
        </w:rPr>
      </w:pPr>
      <w:r w:rsidRPr="00DA5E03">
        <w:drawing>
          <wp:anchor distT="0" distB="0" distL="114300" distR="114300" simplePos="0" relativeHeight="251661312" behindDoc="0" locked="0" layoutInCell="1" allowOverlap="1" wp14:anchorId="0F4D3B9B" wp14:editId="00975605">
            <wp:simplePos x="0" y="0"/>
            <wp:positionH relativeFrom="column">
              <wp:posOffset>1473200</wp:posOffset>
            </wp:positionH>
            <wp:positionV relativeFrom="paragraph">
              <wp:posOffset>146685</wp:posOffset>
            </wp:positionV>
            <wp:extent cx="648335" cy="254635"/>
            <wp:effectExtent l="0" t="0" r="0" b="0"/>
            <wp:wrapSquare wrapText="bothSides"/>
            <wp:docPr id="62366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66284" name=""/>
                    <pic:cNvPicPr/>
                  </pic:nvPicPr>
                  <pic:blipFill rotWithShape="1">
                    <a:blip r:embed="rId9" cstate="print">
                      <a:extLst>
                        <a:ext uri="{28A0092B-C50C-407E-A947-70E740481C1C}">
                          <a14:useLocalDpi xmlns:a14="http://schemas.microsoft.com/office/drawing/2010/main" val="0"/>
                        </a:ext>
                      </a:extLst>
                    </a:blip>
                    <a:srcRect l="6127" t="32273" r="3989" b="9306"/>
                    <a:stretch>
                      <a:fillRect/>
                    </a:stretch>
                  </pic:blipFill>
                  <pic:spPr bwMode="auto">
                    <a:xfrm>
                      <a:off x="0" y="0"/>
                      <a:ext cx="648335" cy="2546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6AAF">
        <w:rPr>
          <w:rFonts w:ascii="Times New Roman" w:hAnsi="Times New Roman" w:cs="Times New Roman"/>
        </w:rPr>
        <w:t xml:space="preserve">Signature: </w:t>
      </w:r>
    </w:p>
    <w:p w14:paraId="2B32F0D3" w14:textId="794DC35C" w:rsidR="00DB0109" w:rsidRPr="00352C77" w:rsidRDefault="007B6AAF" w:rsidP="001C24A6">
      <w:pPr>
        <w:spacing w:before="480" w:line="360" w:lineRule="auto"/>
        <w:rPr>
          <w:rFonts w:ascii="Times New Roman" w:hAnsi="Times New Roman" w:cs="Times New Roman"/>
        </w:rPr>
      </w:pPr>
      <w:r>
        <w:rPr>
          <w:rFonts w:ascii="Times New Roman" w:hAnsi="Times New Roman" w:cs="Times New Roman"/>
        </w:rPr>
        <w:t>KAVUBU OSCAR GODFREY (BU/UG/2023/2268).</w:t>
      </w:r>
    </w:p>
    <w:p w14:paraId="5C4DA232" w14:textId="50C3BF86" w:rsidR="00DB0109" w:rsidRPr="00352C77" w:rsidRDefault="007B6AAF" w:rsidP="00A623D5">
      <w:pPr>
        <w:spacing w:before="120" w:line="360" w:lineRule="auto"/>
        <w:rPr>
          <w:rFonts w:ascii="Times New Roman" w:hAnsi="Times New Roman" w:cs="Times New Roman"/>
        </w:rPr>
      </w:pPr>
      <w:r>
        <w:rPr>
          <w:rFonts w:ascii="Times New Roman" w:hAnsi="Times New Roman" w:cs="Times New Roman"/>
        </w:rPr>
        <w:t xml:space="preserve">Date: </w:t>
      </w:r>
      <w:r w:rsidR="001C24A6">
        <w:rPr>
          <w:rFonts w:ascii="Times New Roman" w:hAnsi="Times New Roman" w:cs="Times New Roman"/>
        </w:rPr>
        <w:t>10/08/2026</w:t>
      </w:r>
    </w:p>
    <w:p w14:paraId="2954464F" w14:textId="42A1F9A1" w:rsidR="00DB0109" w:rsidRPr="00352C77" w:rsidRDefault="007B6AAF" w:rsidP="00A623D5">
      <w:pPr>
        <w:spacing w:line="360" w:lineRule="auto"/>
        <w:rPr>
          <w:rFonts w:ascii="Times New Roman" w:hAnsi="Times New Roman" w:cs="Times New Roman"/>
        </w:rPr>
      </w:pPr>
      <w:r>
        <w:rPr>
          <w:rFonts w:ascii="Times New Roman" w:hAnsi="Times New Roman" w:cs="Times New Roman"/>
        </w:rPr>
        <w:br w:type="page"/>
      </w:r>
    </w:p>
    <w:p w14:paraId="211A1EFD" w14:textId="77777777" w:rsidR="00DB0109" w:rsidRPr="00352C77" w:rsidRDefault="007B6AAF" w:rsidP="00A623D5">
      <w:pPr>
        <w:pStyle w:val="Heading1"/>
        <w:spacing w:line="360" w:lineRule="auto"/>
        <w:rPr>
          <w:rFonts w:ascii="Times New Roman" w:hAnsi="Times New Roman" w:cs="Times New Roman"/>
        </w:rPr>
      </w:pPr>
      <w:bookmarkStart w:id="1" w:name="_Toc237884255"/>
      <w:r>
        <w:rPr>
          <w:rFonts w:ascii="Times New Roman" w:hAnsi="Times New Roman" w:cs="Times New Roman"/>
        </w:rPr>
        <w:lastRenderedPageBreak/>
        <w:t>APPROVAL</w:t>
      </w:r>
      <w:bookmarkEnd w:id="1"/>
    </w:p>
    <w:p w14:paraId="0223A508"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This research report titled “Using NDVI and NDWI Indices to Assess the Spatial, Temporal and Seasonal Spread of Aquatic Weeds on Lake Wamala, Uganda (2017–2025)” has been submitted for examination with my approval as the candidate’s University Supervisor.</w:t>
      </w:r>
    </w:p>
    <w:p w14:paraId="2C7EE492" w14:textId="77777777" w:rsidR="00DB0109" w:rsidRPr="00352C77" w:rsidRDefault="007B6AAF" w:rsidP="00A623D5">
      <w:pPr>
        <w:spacing w:before="480" w:line="360" w:lineRule="auto"/>
        <w:rPr>
          <w:rFonts w:ascii="Times New Roman" w:hAnsi="Times New Roman" w:cs="Times New Roman"/>
        </w:rPr>
      </w:pPr>
      <w:r>
        <w:rPr>
          <w:rFonts w:ascii="Times New Roman" w:hAnsi="Times New Roman" w:cs="Times New Roman"/>
        </w:rPr>
        <w:t>Signature: ………………………………………………</w:t>
      </w:r>
    </w:p>
    <w:p w14:paraId="1B138584" w14:textId="77777777" w:rsidR="00DB0109" w:rsidRPr="00352C77" w:rsidRDefault="008B5BD9" w:rsidP="00A623D5">
      <w:pPr>
        <w:spacing w:before="120" w:after="240" w:line="360" w:lineRule="auto"/>
        <w:rPr>
          <w:rFonts w:ascii="Times New Roman" w:hAnsi="Times New Roman" w:cs="Times New Roman"/>
        </w:rPr>
      </w:pPr>
      <w:r>
        <w:rPr>
          <w:rFonts w:ascii="Times New Roman" w:hAnsi="Times New Roman" w:cs="Times New Roman"/>
        </w:rPr>
        <w:t>Prof. ISABIRYE MOSES</w:t>
      </w:r>
    </w:p>
    <w:p w14:paraId="56F5E694"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rPr>
        <w:t>Supervisor, Department of Fisheries and Water Resources Management</w:t>
      </w:r>
    </w:p>
    <w:p w14:paraId="329B9C80" w14:textId="012BD9B7" w:rsidR="00DB0109" w:rsidRPr="00352C77" w:rsidRDefault="007B6AAF" w:rsidP="00A623D5">
      <w:pPr>
        <w:spacing w:before="120" w:line="360" w:lineRule="auto"/>
        <w:rPr>
          <w:rFonts w:ascii="Times New Roman" w:hAnsi="Times New Roman" w:cs="Times New Roman"/>
        </w:rPr>
      </w:pPr>
      <w:r>
        <w:rPr>
          <w:rFonts w:ascii="Times New Roman" w:hAnsi="Times New Roman" w:cs="Times New Roman"/>
        </w:rPr>
        <w:t>Busitema University</w:t>
      </w:r>
    </w:p>
    <w:p w14:paraId="16CFA116" w14:textId="77777777" w:rsidR="00DB0109" w:rsidRPr="00352C77" w:rsidRDefault="007B6AAF" w:rsidP="00A623D5">
      <w:pPr>
        <w:spacing w:before="120" w:line="360" w:lineRule="auto"/>
        <w:rPr>
          <w:rFonts w:ascii="Times New Roman" w:hAnsi="Times New Roman" w:cs="Times New Roman"/>
        </w:rPr>
      </w:pPr>
      <w:r>
        <w:rPr>
          <w:rFonts w:ascii="Times New Roman" w:hAnsi="Times New Roman" w:cs="Times New Roman"/>
        </w:rPr>
        <w:t>Date: …………………………………</w:t>
      </w:r>
    </w:p>
    <w:p w14:paraId="36638084"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rPr>
        <w:br w:type="page"/>
      </w:r>
    </w:p>
    <w:p w14:paraId="22461249" w14:textId="77777777" w:rsidR="00DB0109" w:rsidRPr="00352C77" w:rsidRDefault="007B6AAF" w:rsidP="00A623D5">
      <w:pPr>
        <w:pStyle w:val="Heading1"/>
        <w:spacing w:line="360" w:lineRule="auto"/>
        <w:rPr>
          <w:rFonts w:ascii="Times New Roman" w:hAnsi="Times New Roman" w:cs="Times New Roman"/>
        </w:rPr>
      </w:pPr>
      <w:bookmarkStart w:id="2" w:name="_Toc237884256"/>
      <w:r>
        <w:rPr>
          <w:rFonts w:ascii="Times New Roman" w:hAnsi="Times New Roman" w:cs="Times New Roman"/>
        </w:rPr>
        <w:lastRenderedPageBreak/>
        <w:t>DEDICATION</w:t>
      </w:r>
      <w:bookmarkEnd w:id="2"/>
    </w:p>
    <w:p w14:paraId="7538352F"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I dedicate this work to my beloved family, whose unwavering support, patience and encouragement sustained me throughout my studies. I also dedicate it to the fishing communities of Lake Wamala, whose livelihoods depend on the health of this vital water resource, in the hope that the findings of this study will contribute to its sustainable management for current and future generations.</w:t>
      </w:r>
    </w:p>
    <w:p w14:paraId="085D54E6"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rPr>
        <w:br w:type="page"/>
      </w:r>
    </w:p>
    <w:p w14:paraId="7F8EA2BD" w14:textId="77777777" w:rsidR="00DB0109" w:rsidRPr="00352C77" w:rsidRDefault="007B6AAF" w:rsidP="00A623D5">
      <w:pPr>
        <w:pStyle w:val="Heading1"/>
        <w:spacing w:line="360" w:lineRule="auto"/>
        <w:rPr>
          <w:rFonts w:ascii="Times New Roman" w:hAnsi="Times New Roman" w:cs="Times New Roman"/>
        </w:rPr>
      </w:pPr>
      <w:bookmarkStart w:id="3" w:name="_Toc237884257"/>
      <w:r>
        <w:rPr>
          <w:rFonts w:ascii="Times New Roman" w:hAnsi="Times New Roman" w:cs="Times New Roman"/>
        </w:rPr>
        <w:lastRenderedPageBreak/>
        <w:t>ACKNOWLEDGEMENTS</w:t>
      </w:r>
      <w:bookmarkEnd w:id="3"/>
    </w:p>
    <w:p w14:paraId="1E062CCA"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First and foremost, I thank the Almighty God for the gift of life, good health and the strength to complete this research.</w:t>
      </w:r>
    </w:p>
    <w:p w14:paraId="6DF10C3C"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I extend my sincere gratitude to my supervisor, Prof. Isabirye Moses, for his invaluable guidance, constructive criticism and continuous encouragement throughout the course of this study. His expertise and patience were instrumental in shaping this work.</w:t>
      </w:r>
    </w:p>
    <w:p w14:paraId="536F453E" w14:textId="4CDE116E"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I am grateful to the academic and technical staff of the Department of Fisheries and Water Resources Management, Faculty of Natural Resources and Environmental Sciences, Busitema University, for the knowledge and skills imparted to me during my training.</w:t>
      </w:r>
    </w:p>
    <w:p w14:paraId="6EC047A4"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I acknowledge the European Space Agency (ESA) and the Copernicus Programme for providing free and open access to Sentinel-2 imagery, without which this study would not have been possible. I also recognise the developers of the open-source geospatial and statistical tools used in the analysis.</w:t>
      </w:r>
    </w:p>
    <w:p w14:paraId="618962E6"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Finally, I thank my family, friends and classmates for their moral and material support. To all who contributed to this work in one way or another, I say thank you.</w:t>
      </w:r>
    </w:p>
    <w:p w14:paraId="6EA4095D"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rPr>
        <w:br w:type="page"/>
      </w:r>
    </w:p>
    <w:p w14:paraId="26081FA3" w14:textId="77777777" w:rsidR="00DB0109" w:rsidRPr="00352C77" w:rsidRDefault="007B6AAF" w:rsidP="00A623D5">
      <w:pPr>
        <w:pStyle w:val="Heading1"/>
        <w:spacing w:line="360" w:lineRule="auto"/>
        <w:rPr>
          <w:rFonts w:ascii="Times New Roman" w:hAnsi="Times New Roman" w:cs="Times New Roman"/>
        </w:rPr>
      </w:pPr>
      <w:bookmarkStart w:id="4" w:name="_Toc237884258"/>
      <w:r>
        <w:rPr>
          <w:rFonts w:ascii="Times New Roman" w:hAnsi="Times New Roman" w:cs="Times New Roman"/>
        </w:rPr>
        <w:lastRenderedPageBreak/>
        <w:t>ABSTRACT</w:t>
      </w:r>
      <w:bookmarkEnd w:id="4"/>
    </w:p>
    <w:p w14:paraId="20B26498"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Aquatic weed infestation poses a growing threat to the ecological integrity and socio-economic value of shallow tropical lakes in East Africa. Lake Wamala, a shallow lake in central Uganda, supports important fisheries and provides water for surrounding communities, yet its weed dynamics remain poorly quantified. This study assessed the spatial distribution, temporal trends and seasonal dynamics of aquatic weed cover on Lake Wamala using the Normalized Difference Vegetation Index (NDVI) and the Normalized Difference Water Index (NDWI) derived from Sentinel-2 satellite imagery. A dataset of 30,296 pixel-level observations was extracted from 16 ground stations distributed across five regions and seven ecological zone types, spanning three years (2017, 2022 and 2025) and five months (January, February, March, June and September). Descriptive statistics, weed-cover classification using NDVI thresholds, correlation analysis and spatial–temporal trend analysis were performed. Group differences were tested by Welch’s and one-way analysis of variance, and the NDVI–NDWI association by Pearson correlation.</w:t>
      </w:r>
    </w:p>
    <w:p w14:paraId="76C9CD6B"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The overall mean NDVI was −0.073 (SD = 0.153) and the overall mean NDWI was 0.206 (SD = 0.169), indicating that open water dominates the lake surface. Weed-cover classification showed that 95.2% of pixels were open water or low vegetation, 1.3% moderate vegetation and 3.5% high vegetation (dense weeds). The Southern region emerged as the principal weed hotspot, with the only positive regional mean NDVI (0.012) and the highest proportion of dense-vegetation pixels (12.02%), followed by the Eastern region (4.93%). NDVI declined sharply between 2017 (−0.037) and 2022 (−0.113) before partially recovering by 2025 (−0.072), a pattern attributed to the 2020–2023 La Niña-driven </w:t>
      </w:r>
      <w:proofErr w:type="gramStart"/>
      <w:r>
        <w:rPr>
          <w:rFonts w:ascii="Times New Roman" w:hAnsi="Times New Roman" w:cs="Times New Roman"/>
        </w:rPr>
        <w:t>high water</w:t>
      </w:r>
      <w:proofErr w:type="gramEnd"/>
      <w:r>
        <w:rPr>
          <w:rFonts w:ascii="Times New Roman" w:hAnsi="Times New Roman" w:cs="Times New Roman"/>
        </w:rPr>
        <w:t xml:space="preserve"> levels in the Lake Victoria basin. Seasonally, January (dry season) recorded the least negative NDVI (−0.011) while February (onset of the rains) recorded the most negative (−0.133). NDVI and NDWI were strongly and inversely correlated overall (Pearson r = −0.971), with zone-level coefficients ranging from −0.743 to −0.989, confirming their value as complementary indices for weed mapping. All four group-difference tests — by zone type, region, year and month — were significant at p &lt; .001, with season producing the largest effect (η² = 0.08) and year the smallest (η² = 0.02).</w:t>
      </w:r>
    </w:p>
    <w:p w14:paraId="36DA7689"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The study concludes that aquatic weed infestation on Lake Wamala is not a uniform, lake-wide problem but a spatially concentrated one, driven by nutrient enrichment, shallow bathymetry and sheltered conditions in the Southern and Eastern regions, and modulated by strong inter-annual </w:t>
      </w:r>
      <w:r>
        <w:rPr>
          <w:rFonts w:ascii="Times New Roman" w:hAnsi="Times New Roman" w:cs="Times New Roman"/>
        </w:rPr>
        <w:lastRenderedPageBreak/>
        <w:t>climate variability. NDVI and NDWI from freely available Sentinel-2 imagery provide a reliable, low-cost basis for routine monitoring. It is recommended that management be spatially targeted on the Southern and Eastern regions, embedded within an adaptive framework that responds to climate variability, supported by an integrated satellite-plus-ground monitoring system, and complemented by catchment nutrient management and community engagement. These measures would allow limited management resources to be directed where they yield the greatest ecological and economic return.</w:t>
      </w:r>
    </w:p>
    <w:p w14:paraId="76023890" w14:textId="77777777" w:rsidR="00DB0109" w:rsidRPr="00352C77" w:rsidRDefault="007B6AAF" w:rsidP="00A623D5">
      <w:pPr>
        <w:spacing w:before="160" w:line="360" w:lineRule="auto"/>
        <w:rPr>
          <w:rFonts w:ascii="Times New Roman" w:hAnsi="Times New Roman" w:cs="Times New Roman"/>
        </w:rPr>
      </w:pPr>
      <w:r>
        <w:rPr>
          <w:rFonts w:ascii="Times New Roman" w:hAnsi="Times New Roman" w:cs="Times New Roman"/>
          <w:b/>
          <w:bCs/>
        </w:rPr>
        <w:t xml:space="preserve">Keywords: </w:t>
      </w:r>
      <w:r>
        <w:rPr>
          <w:rFonts w:ascii="Times New Roman" w:hAnsi="Times New Roman" w:cs="Times New Roman"/>
        </w:rPr>
        <w:t>Lake Wamala; aquatic weeds; NDVI; NDWI; Sentinel-2; remote sensing; weed mapping; eutrophication; adaptive management.</w:t>
      </w:r>
    </w:p>
    <w:p w14:paraId="4E40E180"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rPr>
        <w:br w:type="page"/>
      </w:r>
    </w:p>
    <w:p w14:paraId="2A17C8A3" w14:textId="77777777" w:rsidR="00DB0109" w:rsidRPr="00352C77" w:rsidRDefault="007B6AAF" w:rsidP="00A623D5">
      <w:pPr>
        <w:pStyle w:val="Heading1"/>
        <w:spacing w:line="360" w:lineRule="auto"/>
        <w:rPr>
          <w:rFonts w:ascii="Times New Roman" w:hAnsi="Times New Roman" w:cs="Times New Roman"/>
        </w:rPr>
      </w:pPr>
      <w:bookmarkStart w:id="5" w:name="_Toc237884259"/>
      <w:r>
        <w:rPr>
          <w:rFonts w:ascii="Times New Roman" w:hAnsi="Times New Roman" w:cs="Times New Roman"/>
        </w:rPr>
        <w:lastRenderedPageBreak/>
        <w:t>TABLE OF CONTENTS</w:t>
      </w:r>
      <w:bookmarkEnd w:id="5"/>
    </w:p>
    <w:sdt>
      <w:sdtPr>
        <w:rPr>
          <w:rFonts w:ascii="Times New Roman" w:hAnsi="Times New Roman" w:cs="Times New Roman"/>
        </w:rPr>
        <w:alias w:val="Table of Contents"/>
        <w:id w:val="858388954"/>
      </w:sdtPr>
      <w:sdtContent>
        <w:p w14:paraId="2A348D27" w14:textId="12D1AA5A" w:rsidR="00402E51" w:rsidRDefault="007B6AAF">
          <w:pPr>
            <w:pStyle w:val="TOC1"/>
            <w:tabs>
              <w:tab w:val="right" w:leader="dot" w:pos="9350"/>
            </w:tabs>
            <w:rPr>
              <w:rFonts w:asciiTheme="minorHAnsi" w:eastAsiaTheme="minorEastAsia" w:hAnsiTheme="minorHAnsi" w:cstheme="minorBidi"/>
              <w:noProof/>
              <w:kern w:val="2"/>
              <w14:ligatures w14:val="standardContextual"/>
            </w:rPr>
          </w:pPr>
          <w:r>
            <w:rPr>
              <w:rFonts w:ascii="Times New Roman" w:hAnsi="Times New Roman" w:cs="Times New Roman"/>
            </w:rPr>
            <w:fldChar w:fldCharType="begin"/>
          </w:r>
          <w:r>
            <w:rPr>
              <w:rFonts w:ascii="Times New Roman" w:hAnsi="Times New Roman" w:cs="Times New Roman"/>
            </w:rPr>
            <w:instrText>TOC \h \o "1-3"</w:instrText>
          </w:r>
          <w:r>
            <w:rPr>
              <w:rFonts w:ascii="Times New Roman" w:hAnsi="Times New Roman" w:cs="Times New Roman"/>
            </w:rPr>
            <w:fldChar w:fldCharType="separate"/>
          </w:r>
          <w:hyperlink w:anchor="_Toc237884254" w:history="1">
            <w:r w:rsidR="00402E51" w:rsidRPr="00662DC7">
              <w:rPr>
                <w:rStyle w:val="Hyperlink"/>
                <w:rFonts w:ascii="Times New Roman" w:hAnsi="Times New Roman" w:cs="Times New Roman"/>
                <w:noProof/>
              </w:rPr>
              <w:t>DECLARATION</w:t>
            </w:r>
            <w:r w:rsidR="00402E51">
              <w:rPr>
                <w:noProof/>
              </w:rPr>
              <w:tab/>
            </w:r>
            <w:r w:rsidR="00402E51">
              <w:rPr>
                <w:noProof/>
              </w:rPr>
              <w:fldChar w:fldCharType="begin"/>
            </w:r>
            <w:r w:rsidR="00402E51">
              <w:rPr>
                <w:noProof/>
              </w:rPr>
              <w:instrText xml:space="preserve"> PAGEREF _Toc237884254 \h </w:instrText>
            </w:r>
            <w:r w:rsidR="00402E51">
              <w:rPr>
                <w:noProof/>
              </w:rPr>
            </w:r>
            <w:r w:rsidR="00402E51">
              <w:rPr>
                <w:noProof/>
              </w:rPr>
              <w:fldChar w:fldCharType="separate"/>
            </w:r>
            <w:r w:rsidR="00402E51">
              <w:rPr>
                <w:noProof/>
              </w:rPr>
              <w:t>ii</w:t>
            </w:r>
            <w:r w:rsidR="00402E51">
              <w:rPr>
                <w:noProof/>
              </w:rPr>
              <w:fldChar w:fldCharType="end"/>
            </w:r>
          </w:hyperlink>
        </w:p>
        <w:p w14:paraId="3D17CDB6" w14:textId="3DDA3387" w:rsidR="00402E51" w:rsidRDefault="00402E51">
          <w:pPr>
            <w:pStyle w:val="TOC1"/>
            <w:tabs>
              <w:tab w:val="right" w:leader="dot" w:pos="9350"/>
            </w:tabs>
            <w:rPr>
              <w:rFonts w:asciiTheme="minorHAnsi" w:eastAsiaTheme="minorEastAsia" w:hAnsiTheme="minorHAnsi" w:cstheme="minorBidi"/>
              <w:noProof/>
              <w:kern w:val="2"/>
              <w14:ligatures w14:val="standardContextual"/>
            </w:rPr>
          </w:pPr>
          <w:hyperlink w:anchor="_Toc237884255" w:history="1">
            <w:r w:rsidRPr="00662DC7">
              <w:rPr>
                <w:rStyle w:val="Hyperlink"/>
                <w:rFonts w:ascii="Times New Roman" w:hAnsi="Times New Roman" w:cs="Times New Roman"/>
                <w:noProof/>
              </w:rPr>
              <w:t>APPROVAL</w:t>
            </w:r>
            <w:r>
              <w:rPr>
                <w:noProof/>
              </w:rPr>
              <w:tab/>
            </w:r>
            <w:r>
              <w:rPr>
                <w:noProof/>
              </w:rPr>
              <w:fldChar w:fldCharType="begin"/>
            </w:r>
            <w:r>
              <w:rPr>
                <w:noProof/>
              </w:rPr>
              <w:instrText xml:space="preserve"> PAGEREF _Toc237884255 \h </w:instrText>
            </w:r>
            <w:r>
              <w:rPr>
                <w:noProof/>
              </w:rPr>
            </w:r>
            <w:r>
              <w:rPr>
                <w:noProof/>
              </w:rPr>
              <w:fldChar w:fldCharType="separate"/>
            </w:r>
            <w:r>
              <w:rPr>
                <w:noProof/>
              </w:rPr>
              <w:t>iii</w:t>
            </w:r>
            <w:r>
              <w:rPr>
                <w:noProof/>
              </w:rPr>
              <w:fldChar w:fldCharType="end"/>
            </w:r>
          </w:hyperlink>
        </w:p>
        <w:p w14:paraId="553B8FF7" w14:textId="1374A6AA" w:rsidR="00402E51" w:rsidRDefault="00402E51">
          <w:pPr>
            <w:pStyle w:val="TOC1"/>
            <w:tabs>
              <w:tab w:val="right" w:leader="dot" w:pos="9350"/>
            </w:tabs>
            <w:rPr>
              <w:rFonts w:asciiTheme="minorHAnsi" w:eastAsiaTheme="minorEastAsia" w:hAnsiTheme="minorHAnsi" w:cstheme="minorBidi"/>
              <w:noProof/>
              <w:kern w:val="2"/>
              <w14:ligatures w14:val="standardContextual"/>
            </w:rPr>
          </w:pPr>
          <w:hyperlink w:anchor="_Toc237884256" w:history="1">
            <w:r w:rsidRPr="00662DC7">
              <w:rPr>
                <w:rStyle w:val="Hyperlink"/>
                <w:rFonts w:ascii="Times New Roman" w:hAnsi="Times New Roman" w:cs="Times New Roman"/>
                <w:noProof/>
              </w:rPr>
              <w:t>DEDICATION</w:t>
            </w:r>
            <w:r>
              <w:rPr>
                <w:noProof/>
              </w:rPr>
              <w:tab/>
            </w:r>
            <w:r>
              <w:rPr>
                <w:noProof/>
              </w:rPr>
              <w:fldChar w:fldCharType="begin"/>
            </w:r>
            <w:r>
              <w:rPr>
                <w:noProof/>
              </w:rPr>
              <w:instrText xml:space="preserve"> PAGEREF _Toc237884256 \h </w:instrText>
            </w:r>
            <w:r>
              <w:rPr>
                <w:noProof/>
              </w:rPr>
            </w:r>
            <w:r>
              <w:rPr>
                <w:noProof/>
              </w:rPr>
              <w:fldChar w:fldCharType="separate"/>
            </w:r>
            <w:r>
              <w:rPr>
                <w:noProof/>
              </w:rPr>
              <w:t>iv</w:t>
            </w:r>
            <w:r>
              <w:rPr>
                <w:noProof/>
              </w:rPr>
              <w:fldChar w:fldCharType="end"/>
            </w:r>
          </w:hyperlink>
        </w:p>
        <w:p w14:paraId="690ED031" w14:textId="64E59A84" w:rsidR="00402E51" w:rsidRDefault="00402E51">
          <w:pPr>
            <w:pStyle w:val="TOC1"/>
            <w:tabs>
              <w:tab w:val="right" w:leader="dot" w:pos="9350"/>
            </w:tabs>
            <w:rPr>
              <w:rFonts w:asciiTheme="minorHAnsi" w:eastAsiaTheme="minorEastAsia" w:hAnsiTheme="minorHAnsi" w:cstheme="minorBidi"/>
              <w:noProof/>
              <w:kern w:val="2"/>
              <w14:ligatures w14:val="standardContextual"/>
            </w:rPr>
          </w:pPr>
          <w:hyperlink w:anchor="_Toc237884257" w:history="1">
            <w:r w:rsidRPr="00662DC7">
              <w:rPr>
                <w:rStyle w:val="Hyperlink"/>
                <w:rFonts w:ascii="Times New Roman" w:hAnsi="Times New Roman" w:cs="Times New Roman"/>
                <w:noProof/>
              </w:rPr>
              <w:t>ACKNOWLEDGEMENTS</w:t>
            </w:r>
            <w:r>
              <w:rPr>
                <w:noProof/>
              </w:rPr>
              <w:tab/>
            </w:r>
            <w:r>
              <w:rPr>
                <w:noProof/>
              </w:rPr>
              <w:fldChar w:fldCharType="begin"/>
            </w:r>
            <w:r>
              <w:rPr>
                <w:noProof/>
              </w:rPr>
              <w:instrText xml:space="preserve"> PAGEREF _Toc237884257 \h </w:instrText>
            </w:r>
            <w:r>
              <w:rPr>
                <w:noProof/>
              </w:rPr>
            </w:r>
            <w:r>
              <w:rPr>
                <w:noProof/>
              </w:rPr>
              <w:fldChar w:fldCharType="separate"/>
            </w:r>
            <w:r>
              <w:rPr>
                <w:noProof/>
              </w:rPr>
              <w:t>v</w:t>
            </w:r>
            <w:r>
              <w:rPr>
                <w:noProof/>
              </w:rPr>
              <w:fldChar w:fldCharType="end"/>
            </w:r>
          </w:hyperlink>
        </w:p>
        <w:p w14:paraId="7855E35B" w14:textId="6F9B9C23" w:rsidR="00402E51" w:rsidRDefault="00402E51">
          <w:pPr>
            <w:pStyle w:val="TOC1"/>
            <w:tabs>
              <w:tab w:val="right" w:leader="dot" w:pos="9350"/>
            </w:tabs>
            <w:rPr>
              <w:rFonts w:asciiTheme="minorHAnsi" w:eastAsiaTheme="minorEastAsia" w:hAnsiTheme="minorHAnsi" w:cstheme="minorBidi"/>
              <w:noProof/>
              <w:kern w:val="2"/>
              <w14:ligatures w14:val="standardContextual"/>
            </w:rPr>
          </w:pPr>
          <w:hyperlink w:anchor="_Toc237884258" w:history="1">
            <w:r w:rsidRPr="00662DC7">
              <w:rPr>
                <w:rStyle w:val="Hyperlink"/>
                <w:rFonts w:ascii="Times New Roman" w:hAnsi="Times New Roman" w:cs="Times New Roman"/>
                <w:noProof/>
              </w:rPr>
              <w:t>ABSTRACT</w:t>
            </w:r>
            <w:r>
              <w:rPr>
                <w:noProof/>
              </w:rPr>
              <w:tab/>
            </w:r>
            <w:r>
              <w:rPr>
                <w:noProof/>
              </w:rPr>
              <w:fldChar w:fldCharType="begin"/>
            </w:r>
            <w:r>
              <w:rPr>
                <w:noProof/>
              </w:rPr>
              <w:instrText xml:space="preserve"> PAGEREF _Toc237884258 \h </w:instrText>
            </w:r>
            <w:r>
              <w:rPr>
                <w:noProof/>
              </w:rPr>
            </w:r>
            <w:r>
              <w:rPr>
                <w:noProof/>
              </w:rPr>
              <w:fldChar w:fldCharType="separate"/>
            </w:r>
            <w:r>
              <w:rPr>
                <w:noProof/>
              </w:rPr>
              <w:t>vi</w:t>
            </w:r>
            <w:r>
              <w:rPr>
                <w:noProof/>
              </w:rPr>
              <w:fldChar w:fldCharType="end"/>
            </w:r>
          </w:hyperlink>
        </w:p>
        <w:p w14:paraId="1200080E" w14:textId="0E04C39F" w:rsidR="00402E51" w:rsidRDefault="00402E51">
          <w:pPr>
            <w:pStyle w:val="TOC1"/>
            <w:tabs>
              <w:tab w:val="right" w:leader="dot" w:pos="9350"/>
            </w:tabs>
            <w:rPr>
              <w:rFonts w:asciiTheme="minorHAnsi" w:eastAsiaTheme="minorEastAsia" w:hAnsiTheme="minorHAnsi" w:cstheme="minorBidi"/>
              <w:noProof/>
              <w:kern w:val="2"/>
              <w14:ligatures w14:val="standardContextual"/>
            </w:rPr>
          </w:pPr>
          <w:hyperlink w:anchor="_Toc237884259" w:history="1">
            <w:r w:rsidRPr="00662DC7">
              <w:rPr>
                <w:rStyle w:val="Hyperlink"/>
                <w:rFonts w:ascii="Times New Roman" w:hAnsi="Times New Roman" w:cs="Times New Roman"/>
                <w:noProof/>
              </w:rPr>
              <w:t>TABLE OF CONTENTS</w:t>
            </w:r>
            <w:r>
              <w:rPr>
                <w:noProof/>
              </w:rPr>
              <w:tab/>
            </w:r>
            <w:r>
              <w:rPr>
                <w:noProof/>
              </w:rPr>
              <w:fldChar w:fldCharType="begin"/>
            </w:r>
            <w:r>
              <w:rPr>
                <w:noProof/>
              </w:rPr>
              <w:instrText xml:space="preserve"> PAGEREF _Toc237884259 \h </w:instrText>
            </w:r>
            <w:r>
              <w:rPr>
                <w:noProof/>
              </w:rPr>
            </w:r>
            <w:r>
              <w:rPr>
                <w:noProof/>
              </w:rPr>
              <w:fldChar w:fldCharType="separate"/>
            </w:r>
            <w:r>
              <w:rPr>
                <w:noProof/>
              </w:rPr>
              <w:t>viii</w:t>
            </w:r>
            <w:r>
              <w:rPr>
                <w:noProof/>
              </w:rPr>
              <w:fldChar w:fldCharType="end"/>
            </w:r>
          </w:hyperlink>
        </w:p>
        <w:p w14:paraId="2641CD71" w14:textId="65BFFFD7" w:rsidR="00402E51" w:rsidRDefault="00402E51">
          <w:pPr>
            <w:pStyle w:val="TOC1"/>
            <w:tabs>
              <w:tab w:val="right" w:leader="dot" w:pos="9350"/>
            </w:tabs>
            <w:rPr>
              <w:rFonts w:asciiTheme="minorHAnsi" w:eastAsiaTheme="minorEastAsia" w:hAnsiTheme="minorHAnsi" w:cstheme="minorBidi"/>
              <w:noProof/>
              <w:kern w:val="2"/>
              <w14:ligatures w14:val="standardContextual"/>
            </w:rPr>
          </w:pPr>
          <w:hyperlink w:anchor="_Toc237884260" w:history="1">
            <w:r w:rsidRPr="00662DC7">
              <w:rPr>
                <w:rStyle w:val="Hyperlink"/>
                <w:rFonts w:ascii="Times New Roman" w:hAnsi="Times New Roman" w:cs="Times New Roman"/>
                <w:noProof/>
              </w:rPr>
              <w:t>LIST OF TABLES</w:t>
            </w:r>
            <w:r>
              <w:rPr>
                <w:noProof/>
              </w:rPr>
              <w:tab/>
            </w:r>
            <w:r>
              <w:rPr>
                <w:noProof/>
              </w:rPr>
              <w:fldChar w:fldCharType="begin"/>
            </w:r>
            <w:r>
              <w:rPr>
                <w:noProof/>
              </w:rPr>
              <w:instrText xml:space="preserve"> PAGEREF _Toc237884260 \h </w:instrText>
            </w:r>
            <w:r>
              <w:rPr>
                <w:noProof/>
              </w:rPr>
            </w:r>
            <w:r>
              <w:rPr>
                <w:noProof/>
              </w:rPr>
              <w:fldChar w:fldCharType="separate"/>
            </w:r>
            <w:r>
              <w:rPr>
                <w:noProof/>
              </w:rPr>
              <w:t>xiv</w:t>
            </w:r>
            <w:r>
              <w:rPr>
                <w:noProof/>
              </w:rPr>
              <w:fldChar w:fldCharType="end"/>
            </w:r>
          </w:hyperlink>
        </w:p>
        <w:p w14:paraId="45731F0C" w14:textId="10ED0482" w:rsidR="00402E51" w:rsidRDefault="00402E51">
          <w:pPr>
            <w:pStyle w:val="TOC1"/>
            <w:tabs>
              <w:tab w:val="right" w:leader="dot" w:pos="9350"/>
            </w:tabs>
            <w:rPr>
              <w:rFonts w:asciiTheme="minorHAnsi" w:eastAsiaTheme="minorEastAsia" w:hAnsiTheme="minorHAnsi" w:cstheme="minorBidi"/>
              <w:noProof/>
              <w:kern w:val="2"/>
              <w14:ligatures w14:val="standardContextual"/>
            </w:rPr>
          </w:pPr>
          <w:hyperlink w:anchor="_Toc237884261" w:history="1">
            <w:r w:rsidRPr="00662DC7">
              <w:rPr>
                <w:rStyle w:val="Hyperlink"/>
                <w:rFonts w:ascii="Times New Roman" w:hAnsi="Times New Roman" w:cs="Times New Roman"/>
                <w:noProof/>
              </w:rPr>
              <w:t>LIST OF FIGURES</w:t>
            </w:r>
            <w:r>
              <w:rPr>
                <w:noProof/>
              </w:rPr>
              <w:tab/>
            </w:r>
            <w:r>
              <w:rPr>
                <w:noProof/>
              </w:rPr>
              <w:fldChar w:fldCharType="begin"/>
            </w:r>
            <w:r>
              <w:rPr>
                <w:noProof/>
              </w:rPr>
              <w:instrText xml:space="preserve"> PAGEREF _Toc237884261 \h </w:instrText>
            </w:r>
            <w:r>
              <w:rPr>
                <w:noProof/>
              </w:rPr>
            </w:r>
            <w:r>
              <w:rPr>
                <w:noProof/>
              </w:rPr>
              <w:fldChar w:fldCharType="separate"/>
            </w:r>
            <w:r>
              <w:rPr>
                <w:noProof/>
              </w:rPr>
              <w:t>xv</w:t>
            </w:r>
            <w:r>
              <w:rPr>
                <w:noProof/>
              </w:rPr>
              <w:fldChar w:fldCharType="end"/>
            </w:r>
          </w:hyperlink>
        </w:p>
        <w:p w14:paraId="6C7AF5A2" w14:textId="0178E562" w:rsidR="00402E51" w:rsidRDefault="00402E51">
          <w:pPr>
            <w:pStyle w:val="TOC1"/>
            <w:tabs>
              <w:tab w:val="right" w:leader="dot" w:pos="9350"/>
            </w:tabs>
            <w:rPr>
              <w:rFonts w:asciiTheme="minorHAnsi" w:eastAsiaTheme="minorEastAsia" w:hAnsiTheme="minorHAnsi" w:cstheme="minorBidi"/>
              <w:noProof/>
              <w:kern w:val="2"/>
              <w14:ligatures w14:val="standardContextual"/>
            </w:rPr>
          </w:pPr>
          <w:hyperlink w:anchor="_Toc237884262" w:history="1">
            <w:r w:rsidRPr="00662DC7">
              <w:rPr>
                <w:rStyle w:val="Hyperlink"/>
                <w:rFonts w:ascii="Times New Roman" w:hAnsi="Times New Roman" w:cs="Times New Roman"/>
                <w:noProof/>
              </w:rPr>
              <w:t>LIST OF ABBREVIATIONS AND ACRONYMS</w:t>
            </w:r>
            <w:r>
              <w:rPr>
                <w:noProof/>
              </w:rPr>
              <w:tab/>
            </w:r>
            <w:r>
              <w:rPr>
                <w:noProof/>
              </w:rPr>
              <w:fldChar w:fldCharType="begin"/>
            </w:r>
            <w:r>
              <w:rPr>
                <w:noProof/>
              </w:rPr>
              <w:instrText xml:space="preserve"> PAGEREF _Toc237884262 \h </w:instrText>
            </w:r>
            <w:r>
              <w:rPr>
                <w:noProof/>
              </w:rPr>
            </w:r>
            <w:r>
              <w:rPr>
                <w:noProof/>
              </w:rPr>
              <w:fldChar w:fldCharType="separate"/>
            </w:r>
            <w:r>
              <w:rPr>
                <w:noProof/>
              </w:rPr>
              <w:t>xvi</w:t>
            </w:r>
            <w:r>
              <w:rPr>
                <w:noProof/>
              </w:rPr>
              <w:fldChar w:fldCharType="end"/>
            </w:r>
          </w:hyperlink>
        </w:p>
        <w:p w14:paraId="442E45BB" w14:textId="46CEAAAA" w:rsidR="00402E51" w:rsidRDefault="00402E51">
          <w:pPr>
            <w:pStyle w:val="TOC1"/>
            <w:tabs>
              <w:tab w:val="right" w:leader="dot" w:pos="9350"/>
            </w:tabs>
            <w:rPr>
              <w:rFonts w:asciiTheme="minorHAnsi" w:eastAsiaTheme="minorEastAsia" w:hAnsiTheme="minorHAnsi" w:cstheme="minorBidi"/>
              <w:noProof/>
              <w:kern w:val="2"/>
              <w14:ligatures w14:val="standardContextual"/>
            </w:rPr>
          </w:pPr>
          <w:hyperlink w:anchor="_Toc237884263" w:history="1">
            <w:r w:rsidRPr="00662DC7">
              <w:rPr>
                <w:rStyle w:val="Hyperlink"/>
                <w:rFonts w:ascii="Times New Roman" w:hAnsi="Times New Roman" w:cs="Times New Roman"/>
                <w:noProof/>
              </w:rPr>
              <w:t>CHAPTER ONE: INTRODUCTION</w:t>
            </w:r>
            <w:r>
              <w:rPr>
                <w:noProof/>
              </w:rPr>
              <w:tab/>
            </w:r>
            <w:r>
              <w:rPr>
                <w:noProof/>
              </w:rPr>
              <w:fldChar w:fldCharType="begin"/>
            </w:r>
            <w:r>
              <w:rPr>
                <w:noProof/>
              </w:rPr>
              <w:instrText xml:space="preserve"> PAGEREF _Toc237884263 \h </w:instrText>
            </w:r>
            <w:r>
              <w:rPr>
                <w:noProof/>
              </w:rPr>
            </w:r>
            <w:r>
              <w:rPr>
                <w:noProof/>
              </w:rPr>
              <w:fldChar w:fldCharType="separate"/>
            </w:r>
            <w:r>
              <w:rPr>
                <w:noProof/>
              </w:rPr>
              <w:t>1</w:t>
            </w:r>
            <w:r>
              <w:rPr>
                <w:noProof/>
              </w:rPr>
              <w:fldChar w:fldCharType="end"/>
            </w:r>
          </w:hyperlink>
        </w:p>
        <w:p w14:paraId="3E35F6C4" w14:textId="2C145A1D"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264" w:history="1">
            <w:r w:rsidRPr="00662DC7">
              <w:rPr>
                <w:rStyle w:val="Hyperlink"/>
                <w:rFonts w:ascii="Times New Roman" w:hAnsi="Times New Roman" w:cs="Times New Roman"/>
                <w:noProof/>
              </w:rPr>
              <w:t>1.1 Background to the Study</w:t>
            </w:r>
            <w:r>
              <w:rPr>
                <w:noProof/>
              </w:rPr>
              <w:tab/>
            </w:r>
            <w:r>
              <w:rPr>
                <w:noProof/>
              </w:rPr>
              <w:fldChar w:fldCharType="begin"/>
            </w:r>
            <w:r>
              <w:rPr>
                <w:noProof/>
              </w:rPr>
              <w:instrText xml:space="preserve"> PAGEREF _Toc237884264 \h </w:instrText>
            </w:r>
            <w:r>
              <w:rPr>
                <w:noProof/>
              </w:rPr>
            </w:r>
            <w:r>
              <w:rPr>
                <w:noProof/>
              </w:rPr>
              <w:fldChar w:fldCharType="separate"/>
            </w:r>
            <w:r>
              <w:rPr>
                <w:noProof/>
              </w:rPr>
              <w:t>1</w:t>
            </w:r>
            <w:r>
              <w:rPr>
                <w:noProof/>
              </w:rPr>
              <w:fldChar w:fldCharType="end"/>
            </w:r>
          </w:hyperlink>
        </w:p>
        <w:p w14:paraId="3748A342" w14:textId="44392ACF"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265" w:history="1">
            <w:r w:rsidRPr="00662DC7">
              <w:rPr>
                <w:rStyle w:val="Hyperlink"/>
                <w:rFonts w:ascii="Times New Roman" w:hAnsi="Times New Roman" w:cs="Times New Roman"/>
                <w:noProof/>
              </w:rPr>
              <w:t>1.2 Statement of the Problem</w:t>
            </w:r>
            <w:r>
              <w:rPr>
                <w:noProof/>
              </w:rPr>
              <w:tab/>
            </w:r>
            <w:r>
              <w:rPr>
                <w:noProof/>
              </w:rPr>
              <w:fldChar w:fldCharType="begin"/>
            </w:r>
            <w:r>
              <w:rPr>
                <w:noProof/>
              </w:rPr>
              <w:instrText xml:space="preserve"> PAGEREF _Toc237884265 \h </w:instrText>
            </w:r>
            <w:r>
              <w:rPr>
                <w:noProof/>
              </w:rPr>
            </w:r>
            <w:r>
              <w:rPr>
                <w:noProof/>
              </w:rPr>
              <w:fldChar w:fldCharType="separate"/>
            </w:r>
            <w:r>
              <w:rPr>
                <w:noProof/>
              </w:rPr>
              <w:t>2</w:t>
            </w:r>
            <w:r>
              <w:rPr>
                <w:noProof/>
              </w:rPr>
              <w:fldChar w:fldCharType="end"/>
            </w:r>
          </w:hyperlink>
        </w:p>
        <w:p w14:paraId="78ABDD96" w14:textId="19930C0C"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266" w:history="1">
            <w:r w:rsidRPr="00662DC7">
              <w:rPr>
                <w:rStyle w:val="Hyperlink"/>
                <w:rFonts w:ascii="Times New Roman" w:hAnsi="Times New Roman" w:cs="Times New Roman"/>
                <w:noProof/>
              </w:rPr>
              <w:t>1.3 Objectives of the Study</w:t>
            </w:r>
            <w:r>
              <w:rPr>
                <w:noProof/>
              </w:rPr>
              <w:tab/>
            </w:r>
            <w:r>
              <w:rPr>
                <w:noProof/>
              </w:rPr>
              <w:fldChar w:fldCharType="begin"/>
            </w:r>
            <w:r>
              <w:rPr>
                <w:noProof/>
              </w:rPr>
              <w:instrText xml:space="preserve"> PAGEREF _Toc237884266 \h </w:instrText>
            </w:r>
            <w:r>
              <w:rPr>
                <w:noProof/>
              </w:rPr>
            </w:r>
            <w:r>
              <w:rPr>
                <w:noProof/>
              </w:rPr>
              <w:fldChar w:fldCharType="separate"/>
            </w:r>
            <w:r>
              <w:rPr>
                <w:noProof/>
              </w:rPr>
              <w:t>4</w:t>
            </w:r>
            <w:r>
              <w:rPr>
                <w:noProof/>
              </w:rPr>
              <w:fldChar w:fldCharType="end"/>
            </w:r>
          </w:hyperlink>
        </w:p>
        <w:p w14:paraId="7460AFB0" w14:textId="2DE93A6F"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267" w:history="1">
            <w:r w:rsidRPr="00662DC7">
              <w:rPr>
                <w:rStyle w:val="Hyperlink"/>
                <w:rFonts w:ascii="Times New Roman" w:hAnsi="Times New Roman" w:cs="Times New Roman"/>
                <w:noProof/>
              </w:rPr>
              <w:t>1.3.1 General Objective</w:t>
            </w:r>
            <w:r>
              <w:rPr>
                <w:noProof/>
              </w:rPr>
              <w:tab/>
            </w:r>
            <w:r>
              <w:rPr>
                <w:noProof/>
              </w:rPr>
              <w:fldChar w:fldCharType="begin"/>
            </w:r>
            <w:r>
              <w:rPr>
                <w:noProof/>
              </w:rPr>
              <w:instrText xml:space="preserve"> PAGEREF _Toc237884267 \h </w:instrText>
            </w:r>
            <w:r>
              <w:rPr>
                <w:noProof/>
              </w:rPr>
            </w:r>
            <w:r>
              <w:rPr>
                <w:noProof/>
              </w:rPr>
              <w:fldChar w:fldCharType="separate"/>
            </w:r>
            <w:r>
              <w:rPr>
                <w:noProof/>
              </w:rPr>
              <w:t>4</w:t>
            </w:r>
            <w:r>
              <w:rPr>
                <w:noProof/>
              </w:rPr>
              <w:fldChar w:fldCharType="end"/>
            </w:r>
          </w:hyperlink>
        </w:p>
        <w:p w14:paraId="3C40D7DE" w14:textId="551C4A35"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268" w:history="1">
            <w:r w:rsidRPr="00662DC7">
              <w:rPr>
                <w:rStyle w:val="Hyperlink"/>
                <w:rFonts w:ascii="Times New Roman" w:hAnsi="Times New Roman" w:cs="Times New Roman"/>
                <w:noProof/>
              </w:rPr>
              <w:t>1.3.2 Specific Objectives</w:t>
            </w:r>
            <w:r>
              <w:rPr>
                <w:noProof/>
              </w:rPr>
              <w:tab/>
            </w:r>
            <w:r>
              <w:rPr>
                <w:noProof/>
              </w:rPr>
              <w:fldChar w:fldCharType="begin"/>
            </w:r>
            <w:r>
              <w:rPr>
                <w:noProof/>
              </w:rPr>
              <w:instrText xml:space="preserve"> PAGEREF _Toc237884268 \h </w:instrText>
            </w:r>
            <w:r>
              <w:rPr>
                <w:noProof/>
              </w:rPr>
            </w:r>
            <w:r>
              <w:rPr>
                <w:noProof/>
              </w:rPr>
              <w:fldChar w:fldCharType="separate"/>
            </w:r>
            <w:r>
              <w:rPr>
                <w:noProof/>
              </w:rPr>
              <w:t>4</w:t>
            </w:r>
            <w:r>
              <w:rPr>
                <w:noProof/>
              </w:rPr>
              <w:fldChar w:fldCharType="end"/>
            </w:r>
          </w:hyperlink>
        </w:p>
        <w:p w14:paraId="1EA62CE7" w14:textId="75756DEB"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269" w:history="1">
            <w:r w:rsidRPr="00662DC7">
              <w:rPr>
                <w:rStyle w:val="Hyperlink"/>
                <w:rFonts w:ascii="Times New Roman" w:hAnsi="Times New Roman" w:cs="Times New Roman"/>
                <w:noProof/>
              </w:rPr>
              <w:t>1.4 Research Questions</w:t>
            </w:r>
            <w:r>
              <w:rPr>
                <w:noProof/>
              </w:rPr>
              <w:tab/>
            </w:r>
            <w:r>
              <w:rPr>
                <w:noProof/>
              </w:rPr>
              <w:fldChar w:fldCharType="begin"/>
            </w:r>
            <w:r>
              <w:rPr>
                <w:noProof/>
              </w:rPr>
              <w:instrText xml:space="preserve"> PAGEREF _Toc237884269 \h </w:instrText>
            </w:r>
            <w:r>
              <w:rPr>
                <w:noProof/>
              </w:rPr>
            </w:r>
            <w:r>
              <w:rPr>
                <w:noProof/>
              </w:rPr>
              <w:fldChar w:fldCharType="separate"/>
            </w:r>
            <w:r>
              <w:rPr>
                <w:noProof/>
              </w:rPr>
              <w:t>4</w:t>
            </w:r>
            <w:r>
              <w:rPr>
                <w:noProof/>
              </w:rPr>
              <w:fldChar w:fldCharType="end"/>
            </w:r>
          </w:hyperlink>
        </w:p>
        <w:p w14:paraId="681557CE" w14:textId="62625ECD"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270" w:history="1">
            <w:r w:rsidRPr="00662DC7">
              <w:rPr>
                <w:rStyle w:val="Hyperlink"/>
                <w:rFonts w:ascii="Times New Roman" w:hAnsi="Times New Roman" w:cs="Times New Roman"/>
                <w:noProof/>
              </w:rPr>
              <w:t>1.5 Significance of the Study</w:t>
            </w:r>
            <w:r>
              <w:rPr>
                <w:noProof/>
              </w:rPr>
              <w:tab/>
            </w:r>
            <w:r>
              <w:rPr>
                <w:noProof/>
              </w:rPr>
              <w:fldChar w:fldCharType="begin"/>
            </w:r>
            <w:r>
              <w:rPr>
                <w:noProof/>
              </w:rPr>
              <w:instrText xml:space="preserve"> PAGEREF _Toc237884270 \h </w:instrText>
            </w:r>
            <w:r>
              <w:rPr>
                <w:noProof/>
              </w:rPr>
            </w:r>
            <w:r>
              <w:rPr>
                <w:noProof/>
              </w:rPr>
              <w:fldChar w:fldCharType="separate"/>
            </w:r>
            <w:r>
              <w:rPr>
                <w:noProof/>
              </w:rPr>
              <w:t>4</w:t>
            </w:r>
            <w:r>
              <w:rPr>
                <w:noProof/>
              </w:rPr>
              <w:fldChar w:fldCharType="end"/>
            </w:r>
          </w:hyperlink>
        </w:p>
        <w:p w14:paraId="15D67B64" w14:textId="758AA095"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271" w:history="1">
            <w:r w:rsidRPr="00662DC7">
              <w:rPr>
                <w:rStyle w:val="Hyperlink"/>
                <w:rFonts w:ascii="Times New Roman" w:hAnsi="Times New Roman" w:cs="Times New Roman"/>
                <w:noProof/>
              </w:rPr>
              <w:t>1.6 Scope of the Study</w:t>
            </w:r>
            <w:r>
              <w:rPr>
                <w:noProof/>
              </w:rPr>
              <w:tab/>
            </w:r>
            <w:r>
              <w:rPr>
                <w:noProof/>
              </w:rPr>
              <w:fldChar w:fldCharType="begin"/>
            </w:r>
            <w:r>
              <w:rPr>
                <w:noProof/>
              </w:rPr>
              <w:instrText xml:space="preserve"> PAGEREF _Toc237884271 \h </w:instrText>
            </w:r>
            <w:r>
              <w:rPr>
                <w:noProof/>
              </w:rPr>
            </w:r>
            <w:r>
              <w:rPr>
                <w:noProof/>
              </w:rPr>
              <w:fldChar w:fldCharType="separate"/>
            </w:r>
            <w:r>
              <w:rPr>
                <w:noProof/>
              </w:rPr>
              <w:t>5</w:t>
            </w:r>
            <w:r>
              <w:rPr>
                <w:noProof/>
              </w:rPr>
              <w:fldChar w:fldCharType="end"/>
            </w:r>
          </w:hyperlink>
        </w:p>
        <w:p w14:paraId="604860FA" w14:textId="3359A0ED"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272" w:history="1">
            <w:r w:rsidRPr="00662DC7">
              <w:rPr>
                <w:rStyle w:val="Hyperlink"/>
                <w:rFonts w:ascii="Times New Roman" w:hAnsi="Times New Roman" w:cs="Times New Roman"/>
                <w:noProof/>
              </w:rPr>
              <w:t>1.7 Limitations of the Study</w:t>
            </w:r>
            <w:r>
              <w:rPr>
                <w:noProof/>
              </w:rPr>
              <w:tab/>
            </w:r>
            <w:r>
              <w:rPr>
                <w:noProof/>
              </w:rPr>
              <w:fldChar w:fldCharType="begin"/>
            </w:r>
            <w:r>
              <w:rPr>
                <w:noProof/>
              </w:rPr>
              <w:instrText xml:space="preserve"> PAGEREF _Toc237884272 \h </w:instrText>
            </w:r>
            <w:r>
              <w:rPr>
                <w:noProof/>
              </w:rPr>
            </w:r>
            <w:r>
              <w:rPr>
                <w:noProof/>
              </w:rPr>
              <w:fldChar w:fldCharType="separate"/>
            </w:r>
            <w:r>
              <w:rPr>
                <w:noProof/>
              </w:rPr>
              <w:t>5</w:t>
            </w:r>
            <w:r>
              <w:rPr>
                <w:noProof/>
              </w:rPr>
              <w:fldChar w:fldCharType="end"/>
            </w:r>
          </w:hyperlink>
        </w:p>
        <w:p w14:paraId="53BD32C2" w14:textId="03EA2A91"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273" w:history="1">
            <w:r w:rsidRPr="00662DC7">
              <w:rPr>
                <w:rStyle w:val="Hyperlink"/>
                <w:rFonts w:ascii="Times New Roman" w:hAnsi="Times New Roman" w:cs="Times New Roman"/>
                <w:noProof/>
              </w:rPr>
              <w:t>1.8 Conceptual Framework</w:t>
            </w:r>
            <w:r>
              <w:rPr>
                <w:noProof/>
              </w:rPr>
              <w:tab/>
            </w:r>
            <w:r>
              <w:rPr>
                <w:noProof/>
              </w:rPr>
              <w:fldChar w:fldCharType="begin"/>
            </w:r>
            <w:r>
              <w:rPr>
                <w:noProof/>
              </w:rPr>
              <w:instrText xml:space="preserve"> PAGEREF _Toc237884273 \h </w:instrText>
            </w:r>
            <w:r>
              <w:rPr>
                <w:noProof/>
              </w:rPr>
            </w:r>
            <w:r>
              <w:rPr>
                <w:noProof/>
              </w:rPr>
              <w:fldChar w:fldCharType="separate"/>
            </w:r>
            <w:r>
              <w:rPr>
                <w:noProof/>
              </w:rPr>
              <w:t>5</w:t>
            </w:r>
            <w:r>
              <w:rPr>
                <w:noProof/>
              </w:rPr>
              <w:fldChar w:fldCharType="end"/>
            </w:r>
          </w:hyperlink>
        </w:p>
        <w:p w14:paraId="1C511173" w14:textId="59EE5A8F"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274" w:history="1">
            <w:r w:rsidRPr="00662DC7">
              <w:rPr>
                <w:rStyle w:val="Hyperlink"/>
                <w:rFonts w:ascii="Times New Roman" w:hAnsi="Times New Roman" w:cs="Times New Roman"/>
                <w:noProof/>
              </w:rPr>
              <w:t>1.9 Organisation of the Report</w:t>
            </w:r>
            <w:r>
              <w:rPr>
                <w:noProof/>
              </w:rPr>
              <w:tab/>
            </w:r>
            <w:r>
              <w:rPr>
                <w:noProof/>
              </w:rPr>
              <w:fldChar w:fldCharType="begin"/>
            </w:r>
            <w:r>
              <w:rPr>
                <w:noProof/>
              </w:rPr>
              <w:instrText xml:space="preserve"> PAGEREF _Toc237884274 \h </w:instrText>
            </w:r>
            <w:r>
              <w:rPr>
                <w:noProof/>
              </w:rPr>
            </w:r>
            <w:r>
              <w:rPr>
                <w:noProof/>
              </w:rPr>
              <w:fldChar w:fldCharType="separate"/>
            </w:r>
            <w:r>
              <w:rPr>
                <w:noProof/>
              </w:rPr>
              <w:t>7</w:t>
            </w:r>
            <w:r>
              <w:rPr>
                <w:noProof/>
              </w:rPr>
              <w:fldChar w:fldCharType="end"/>
            </w:r>
          </w:hyperlink>
        </w:p>
        <w:p w14:paraId="6D171B80" w14:textId="48B3E110" w:rsidR="00402E51" w:rsidRDefault="00402E51">
          <w:pPr>
            <w:pStyle w:val="TOC1"/>
            <w:tabs>
              <w:tab w:val="right" w:leader="dot" w:pos="9350"/>
            </w:tabs>
            <w:rPr>
              <w:rFonts w:asciiTheme="minorHAnsi" w:eastAsiaTheme="minorEastAsia" w:hAnsiTheme="minorHAnsi" w:cstheme="minorBidi"/>
              <w:noProof/>
              <w:kern w:val="2"/>
              <w14:ligatures w14:val="standardContextual"/>
            </w:rPr>
          </w:pPr>
          <w:hyperlink w:anchor="_Toc237884275" w:history="1">
            <w:r w:rsidRPr="00662DC7">
              <w:rPr>
                <w:rStyle w:val="Hyperlink"/>
                <w:rFonts w:ascii="Times New Roman" w:hAnsi="Times New Roman" w:cs="Times New Roman"/>
                <w:noProof/>
              </w:rPr>
              <w:t>CHAPTER TWO: LITERATURE REVIEW</w:t>
            </w:r>
            <w:r>
              <w:rPr>
                <w:noProof/>
              </w:rPr>
              <w:tab/>
            </w:r>
            <w:r>
              <w:rPr>
                <w:noProof/>
              </w:rPr>
              <w:fldChar w:fldCharType="begin"/>
            </w:r>
            <w:r>
              <w:rPr>
                <w:noProof/>
              </w:rPr>
              <w:instrText xml:space="preserve"> PAGEREF _Toc237884275 \h </w:instrText>
            </w:r>
            <w:r>
              <w:rPr>
                <w:noProof/>
              </w:rPr>
            </w:r>
            <w:r>
              <w:rPr>
                <w:noProof/>
              </w:rPr>
              <w:fldChar w:fldCharType="separate"/>
            </w:r>
            <w:r>
              <w:rPr>
                <w:noProof/>
              </w:rPr>
              <w:t>9</w:t>
            </w:r>
            <w:r>
              <w:rPr>
                <w:noProof/>
              </w:rPr>
              <w:fldChar w:fldCharType="end"/>
            </w:r>
          </w:hyperlink>
        </w:p>
        <w:p w14:paraId="2A86FC94" w14:textId="73908DC7"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276" w:history="1">
            <w:r w:rsidRPr="00662DC7">
              <w:rPr>
                <w:rStyle w:val="Hyperlink"/>
                <w:rFonts w:ascii="Times New Roman" w:hAnsi="Times New Roman" w:cs="Times New Roman"/>
                <w:noProof/>
              </w:rPr>
              <w:t>2.1 Introduction</w:t>
            </w:r>
            <w:r>
              <w:rPr>
                <w:noProof/>
              </w:rPr>
              <w:tab/>
            </w:r>
            <w:r>
              <w:rPr>
                <w:noProof/>
              </w:rPr>
              <w:fldChar w:fldCharType="begin"/>
            </w:r>
            <w:r>
              <w:rPr>
                <w:noProof/>
              </w:rPr>
              <w:instrText xml:space="preserve"> PAGEREF _Toc237884276 \h </w:instrText>
            </w:r>
            <w:r>
              <w:rPr>
                <w:noProof/>
              </w:rPr>
            </w:r>
            <w:r>
              <w:rPr>
                <w:noProof/>
              </w:rPr>
              <w:fldChar w:fldCharType="separate"/>
            </w:r>
            <w:r>
              <w:rPr>
                <w:noProof/>
              </w:rPr>
              <w:t>9</w:t>
            </w:r>
            <w:r>
              <w:rPr>
                <w:noProof/>
              </w:rPr>
              <w:fldChar w:fldCharType="end"/>
            </w:r>
          </w:hyperlink>
        </w:p>
        <w:p w14:paraId="17949601" w14:textId="7B77C40E"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277" w:history="1">
            <w:r w:rsidRPr="00662DC7">
              <w:rPr>
                <w:rStyle w:val="Hyperlink"/>
                <w:rFonts w:ascii="Times New Roman" w:hAnsi="Times New Roman" w:cs="Times New Roman"/>
                <w:noProof/>
              </w:rPr>
              <w:t>2.1.1 Background to the Problem of Aquatic Weed Proliferation</w:t>
            </w:r>
            <w:r>
              <w:rPr>
                <w:noProof/>
              </w:rPr>
              <w:tab/>
            </w:r>
            <w:r>
              <w:rPr>
                <w:noProof/>
              </w:rPr>
              <w:fldChar w:fldCharType="begin"/>
            </w:r>
            <w:r>
              <w:rPr>
                <w:noProof/>
              </w:rPr>
              <w:instrText xml:space="preserve"> PAGEREF _Toc237884277 \h </w:instrText>
            </w:r>
            <w:r>
              <w:rPr>
                <w:noProof/>
              </w:rPr>
            </w:r>
            <w:r>
              <w:rPr>
                <w:noProof/>
              </w:rPr>
              <w:fldChar w:fldCharType="separate"/>
            </w:r>
            <w:r>
              <w:rPr>
                <w:noProof/>
              </w:rPr>
              <w:t>9</w:t>
            </w:r>
            <w:r>
              <w:rPr>
                <w:noProof/>
              </w:rPr>
              <w:fldChar w:fldCharType="end"/>
            </w:r>
          </w:hyperlink>
        </w:p>
        <w:p w14:paraId="3A4B6ED8" w14:textId="47F26B97"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278" w:history="1">
            <w:r w:rsidRPr="00662DC7">
              <w:rPr>
                <w:rStyle w:val="Hyperlink"/>
                <w:rFonts w:ascii="Times New Roman" w:hAnsi="Times New Roman" w:cs="Times New Roman"/>
                <w:noProof/>
              </w:rPr>
              <w:t>2.1.2 Challenges of Traditional Field-Based Monitoring</w:t>
            </w:r>
            <w:r>
              <w:rPr>
                <w:noProof/>
              </w:rPr>
              <w:tab/>
            </w:r>
            <w:r>
              <w:rPr>
                <w:noProof/>
              </w:rPr>
              <w:fldChar w:fldCharType="begin"/>
            </w:r>
            <w:r>
              <w:rPr>
                <w:noProof/>
              </w:rPr>
              <w:instrText xml:space="preserve"> PAGEREF _Toc237884278 \h </w:instrText>
            </w:r>
            <w:r>
              <w:rPr>
                <w:noProof/>
              </w:rPr>
            </w:r>
            <w:r>
              <w:rPr>
                <w:noProof/>
              </w:rPr>
              <w:fldChar w:fldCharType="separate"/>
            </w:r>
            <w:r>
              <w:rPr>
                <w:noProof/>
              </w:rPr>
              <w:t>10</w:t>
            </w:r>
            <w:r>
              <w:rPr>
                <w:noProof/>
              </w:rPr>
              <w:fldChar w:fldCharType="end"/>
            </w:r>
          </w:hyperlink>
        </w:p>
        <w:p w14:paraId="7AE81D12" w14:textId="0661F481"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279" w:history="1">
            <w:r w:rsidRPr="00662DC7">
              <w:rPr>
                <w:rStyle w:val="Hyperlink"/>
                <w:rFonts w:ascii="Times New Roman" w:hAnsi="Times New Roman" w:cs="Times New Roman"/>
                <w:noProof/>
              </w:rPr>
              <w:t>2.1.3 Remote Sensing as a Solution</w:t>
            </w:r>
            <w:r>
              <w:rPr>
                <w:noProof/>
              </w:rPr>
              <w:tab/>
            </w:r>
            <w:r>
              <w:rPr>
                <w:noProof/>
              </w:rPr>
              <w:fldChar w:fldCharType="begin"/>
            </w:r>
            <w:r>
              <w:rPr>
                <w:noProof/>
              </w:rPr>
              <w:instrText xml:space="preserve"> PAGEREF _Toc237884279 \h </w:instrText>
            </w:r>
            <w:r>
              <w:rPr>
                <w:noProof/>
              </w:rPr>
            </w:r>
            <w:r>
              <w:rPr>
                <w:noProof/>
              </w:rPr>
              <w:fldChar w:fldCharType="separate"/>
            </w:r>
            <w:r>
              <w:rPr>
                <w:noProof/>
              </w:rPr>
              <w:t>10</w:t>
            </w:r>
            <w:r>
              <w:rPr>
                <w:noProof/>
              </w:rPr>
              <w:fldChar w:fldCharType="end"/>
            </w:r>
          </w:hyperlink>
        </w:p>
        <w:p w14:paraId="35B03C1E" w14:textId="16B73A41"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280" w:history="1">
            <w:r w:rsidRPr="00662DC7">
              <w:rPr>
                <w:rStyle w:val="Hyperlink"/>
                <w:rFonts w:ascii="Times New Roman" w:hAnsi="Times New Roman" w:cs="Times New Roman"/>
                <w:noProof/>
              </w:rPr>
              <w:t>2.1.4 Purpose, Scope and Objectives of the Review</w:t>
            </w:r>
            <w:r>
              <w:rPr>
                <w:noProof/>
              </w:rPr>
              <w:tab/>
            </w:r>
            <w:r>
              <w:rPr>
                <w:noProof/>
              </w:rPr>
              <w:fldChar w:fldCharType="begin"/>
            </w:r>
            <w:r>
              <w:rPr>
                <w:noProof/>
              </w:rPr>
              <w:instrText xml:space="preserve"> PAGEREF _Toc237884280 \h </w:instrText>
            </w:r>
            <w:r>
              <w:rPr>
                <w:noProof/>
              </w:rPr>
            </w:r>
            <w:r>
              <w:rPr>
                <w:noProof/>
              </w:rPr>
              <w:fldChar w:fldCharType="separate"/>
            </w:r>
            <w:r>
              <w:rPr>
                <w:noProof/>
              </w:rPr>
              <w:t>10</w:t>
            </w:r>
            <w:r>
              <w:rPr>
                <w:noProof/>
              </w:rPr>
              <w:fldChar w:fldCharType="end"/>
            </w:r>
          </w:hyperlink>
        </w:p>
        <w:p w14:paraId="44FF190C" w14:textId="2B523C82"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281" w:history="1">
            <w:r w:rsidRPr="00662DC7">
              <w:rPr>
                <w:rStyle w:val="Hyperlink"/>
                <w:rFonts w:ascii="Times New Roman" w:hAnsi="Times New Roman" w:cs="Times New Roman"/>
                <w:noProof/>
              </w:rPr>
              <w:t>2.2 Theoretical Foundation of the Normalized Difference Vegetation Index (NDVI)</w:t>
            </w:r>
            <w:r>
              <w:rPr>
                <w:noProof/>
              </w:rPr>
              <w:tab/>
            </w:r>
            <w:r>
              <w:rPr>
                <w:noProof/>
              </w:rPr>
              <w:fldChar w:fldCharType="begin"/>
            </w:r>
            <w:r>
              <w:rPr>
                <w:noProof/>
              </w:rPr>
              <w:instrText xml:space="preserve"> PAGEREF _Toc237884281 \h </w:instrText>
            </w:r>
            <w:r>
              <w:rPr>
                <w:noProof/>
              </w:rPr>
            </w:r>
            <w:r>
              <w:rPr>
                <w:noProof/>
              </w:rPr>
              <w:fldChar w:fldCharType="separate"/>
            </w:r>
            <w:r>
              <w:rPr>
                <w:noProof/>
              </w:rPr>
              <w:t>11</w:t>
            </w:r>
            <w:r>
              <w:rPr>
                <w:noProof/>
              </w:rPr>
              <w:fldChar w:fldCharType="end"/>
            </w:r>
          </w:hyperlink>
        </w:p>
        <w:p w14:paraId="0970CC83" w14:textId="3E32B2E7"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282" w:history="1">
            <w:r w:rsidRPr="00662DC7">
              <w:rPr>
                <w:rStyle w:val="Hyperlink"/>
                <w:rFonts w:ascii="Times New Roman" w:hAnsi="Times New Roman" w:cs="Times New Roman"/>
                <w:noProof/>
              </w:rPr>
              <w:t>2.2.1 Biophysical Principles of Vegetation Reflectance</w:t>
            </w:r>
            <w:r>
              <w:rPr>
                <w:noProof/>
              </w:rPr>
              <w:tab/>
            </w:r>
            <w:r>
              <w:rPr>
                <w:noProof/>
              </w:rPr>
              <w:fldChar w:fldCharType="begin"/>
            </w:r>
            <w:r>
              <w:rPr>
                <w:noProof/>
              </w:rPr>
              <w:instrText xml:space="preserve"> PAGEREF _Toc237884282 \h </w:instrText>
            </w:r>
            <w:r>
              <w:rPr>
                <w:noProof/>
              </w:rPr>
            </w:r>
            <w:r>
              <w:rPr>
                <w:noProof/>
              </w:rPr>
              <w:fldChar w:fldCharType="separate"/>
            </w:r>
            <w:r>
              <w:rPr>
                <w:noProof/>
              </w:rPr>
              <w:t>11</w:t>
            </w:r>
            <w:r>
              <w:rPr>
                <w:noProof/>
              </w:rPr>
              <w:fldChar w:fldCharType="end"/>
            </w:r>
          </w:hyperlink>
        </w:p>
        <w:p w14:paraId="47626753" w14:textId="181BE338"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283" w:history="1">
            <w:r w:rsidRPr="00662DC7">
              <w:rPr>
                <w:rStyle w:val="Hyperlink"/>
                <w:rFonts w:ascii="Times New Roman" w:hAnsi="Times New Roman" w:cs="Times New Roman"/>
                <w:noProof/>
              </w:rPr>
              <w:t>2.2.2 The NDVI Formula and Its Interpretation</w:t>
            </w:r>
            <w:r>
              <w:rPr>
                <w:noProof/>
              </w:rPr>
              <w:tab/>
            </w:r>
            <w:r>
              <w:rPr>
                <w:noProof/>
              </w:rPr>
              <w:fldChar w:fldCharType="begin"/>
            </w:r>
            <w:r>
              <w:rPr>
                <w:noProof/>
              </w:rPr>
              <w:instrText xml:space="preserve"> PAGEREF _Toc237884283 \h </w:instrText>
            </w:r>
            <w:r>
              <w:rPr>
                <w:noProof/>
              </w:rPr>
            </w:r>
            <w:r>
              <w:rPr>
                <w:noProof/>
              </w:rPr>
              <w:fldChar w:fldCharType="separate"/>
            </w:r>
            <w:r>
              <w:rPr>
                <w:noProof/>
              </w:rPr>
              <w:t>11</w:t>
            </w:r>
            <w:r>
              <w:rPr>
                <w:noProof/>
              </w:rPr>
              <w:fldChar w:fldCharType="end"/>
            </w:r>
          </w:hyperlink>
        </w:p>
        <w:p w14:paraId="2522BBA9" w14:textId="78CC7124"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284" w:history="1">
            <w:r w:rsidRPr="00662DC7">
              <w:rPr>
                <w:rStyle w:val="Hyperlink"/>
                <w:rFonts w:ascii="Times New Roman" w:hAnsi="Times New Roman" w:cs="Times New Roman"/>
                <w:noProof/>
              </w:rPr>
              <w:t>2.2.3 Historical Use and Strengths of NDVI in Terrestrial Studies</w:t>
            </w:r>
            <w:r>
              <w:rPr>
                <w:noProof/>
              </w:rPr>
              <w:tab/>
            </w:r>
            <w:r>
              <w:rPr>
                <w:noProof/>
              </w:rPr>
              <w:fldChar w:fldCharType="begin"/>
            </w:r>
            <w:r>
              <w:rPr>
                <w:noProof/>
              </w:rPr>
              <w:instrText xml:space="preserve"> PAGEREF _Toc237884284 \h </w:instrText>
            </w:r>
            <w:r>
              <w:rPr>
                <w:noProof/>
              </w:rPr>
            </w:r>
            <w:r>
              <w:rPr>
                <w:noProof/>
              </w:rPr>
              <w:fldChar w:fldCharType="separate"/>
            </w:r>
            <w:r>
              <w:rPr>
                <w:noProof/>
              </w:rPr>
              <w:t>12</w:t>
            </w:r>
            <w:r>
              <w:rPr>
                <w:noProof/>
              </w:rPr>
              <w:fldChar w:fldCharType="end"/>
            </w:r>
          </w:hyperlink>
        </w:p>
        <w:p w14:paraId="40861A70" w14:textId="434B8AB8"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285" w:history="1">
            <w:r w:rsidRPr="00662DC7">
              <w:rPr>
                <w:rStyle w:val="Hyperlink"/>
                <w:rFonts w:ascii="Times New Roman" w:hAnsi="Times New Roman" w:cs="Times New Roman"/>
                <w:noProof/>
              </w:rPr>
              <w:t>2.3 Other Spectral Indices Used in Water and Aquatic Vegetation Monitoring</w:t>
            </w:r>
            <w:r>
              <w:rPr>
                <w:noProof/>
              </w:rPr>
              <w:tab/>
            </w:r>
            <w:r>
              <w:rPr>
                <w:noProof/>
              </w:rPr>
              <w:fldChar w:fldCharType="begin"/>
            </w:r>
            <w:r>
              <w:rPr>
                <w:noProof/>
              </w:rPr>
              <w:instrText xml:space="preserve"> PAGEREF _Toc237884285 \h </w:instrText>
            </w:r>
            <w:r>
              <w:rPr>
                <w:noProof/>
              </w:rPr>
            </w:r>
            <w:r>
              <w:rPr>
                <w:noProof/>
              </w:rPr>
              <w:fldChar w:fldCharType="separate"/>
            </w:r>
            <w:r>
              <w:rPr>
                <w:noProof/>
              </w:rPr>
              <w:t>12</w:t>
            </w:r>
            <w:r>
              <w:rPr>
                <w:noProof/>
              </w:rPr>
              <w:fldChar w:fldCharType="end"/>
            </w:r>
          </w:hyperlink>
        </w:p>
        <w:p w14:paraId="73B0FE92" w14:textId="07831E9B"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286" w:history="1">
            <w:r w:rsidRPr="00662DC7">
              <w:rPr>
                <w:rStyle w:val="Hyperlink"/>
                <w:rFonts w:ascii="Times New Roman" w:hAnsi="Times New Roman" w:cs="Times New Roman"/>
                <w:noProof/>
              </w:rPr>
              <w:t>2.3.1 Water-Detection Indices: NDWI and MNDWI</w:t>
            </w:r>
            <w:r>
              <w:rPr>
                <w:noProof/>
              </w:rPr>
              <w:tab/>
            </w:r>
            <w:r>
              <w:rPr>
                <w:noProof/>
              </w:rPr>
              <w:fldChar w:fldCharType="begin"/>
            </w:r>
            <w:r>
              <w:rPr>
                <w:noProof/>
              </w:rPr>
              <w:instrText xml:space="preserve"> PAGEREF _Toc237884286 \h </w:instrText>
            </w:r>
            <w:r>
              <w:rPr>
                <w:noProof/>
              </w:rPr>
            </w:r>
            <w:r>
              <w:rPr>
                <w:noProof/>
              </w:rPr>
              <w:fldChar w:fldCharType="separate"/>
            </w:r>
            <w:r>
              <w:rPr>
                <w:noProof/>
              </w:rPr>
              <w:t>12</w:t>
            </w:r>
            <w:r>
              <w:rPr>
                <w:noProof/>
              </w:rPr>
              <w:fldChar w:fldCharType="end"/>
            </w:r>
          </w:hyperlink>
        </w:p>
        <w:p w14:paraId="6823169B" w14:textId="63A39EFD"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287" w:history="1">
            <w:r w:rsidRPr="00662DC7">
              <w:rPr>
                <w:rStyle w:val="Hyperlink"/>
                <w:rFonts w:ascii="Times New Roman" w:hAnsi="Times New Roman" w:cs="Times New Roman"/>
                <w:noProof/>
              </w:rPr>
              <w:t>2.3.2 Enhanced and Soil-Adjusted Vegetation Indices: EVI and SAVI</w:t>
            </w:r>
            <w:r>
              <w:rPr>
                <w:noProof/>
              </w:rPr>
              <w:tab/>
            </w:r>
            <w:r>
              <w:rPr>
                <w:noProof/>
              </w:rPr>
              <w:fldChar w:fldCharType="begin"/>
            </w:r>
            <w:r>
              <w:rPr>
                <w:noProof/>
              </w:rPr>
              <w:instrText xml:space="preserve"> PAGEREF _Toc237884287 \h </w:instrText>
            </w:r>
            <w:r>
              <w:rPr>
                <w:noProof/>
              </w:rPr>
            </w:r>
            <w:r>
              <w:rPr>
                <w:noProof/>
              </w:rPr>
              <w:fldChar w:fldCharType="separate"/>
            </w:r>
            <w:r>
              <w:rPr>
                <w:noProof/>
              </w:rPr>
              <w:t>13</w:t>
            </w:r>
            <w:r>
              <w:rPr>
                <w:noProof/>
              </w:rPr>
              <w:fldChar w:fldCharType="end"/>
            </w:r>
          </w:hyperlink>
        </w:p>
        <w:p w14:paraId="252723FC" w14:textId="715E3D40"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288" w:history="1">
            <w:r w:rsidRPr="00662DC7">
              <w:rPr>
                <w:rStyle w:val="Hyperlink"/>
                <w:rFonts w:ascii="Times New Roman" w:hAnsi="Times New Roman" w:cs="Times New Roman"/>
                <w:noProof/>
              </w:rPr>
              <w:t>2.3.3 Indices Specialised for Aquatic Vegetation and Algae: FAI, NDAVI and WAVI</w:t>
            </w:r>
            <w:r>
              <w:rPr>
                <w:noProof/>
              </w:rPr>
              <w:tab/>
            </w:r>
            <w:r>
              <w:rPr>
                <w:noProof/>
              </w:rPr>
              <w:fldChar w:fldCharType="begin"/>
            </w:r>
            <w:r>
              <w:rPr>
                <w:noProof/>
              </w:rPr>
              <w:instrText xml:space="preserve"> PAGEREF _Toc237884288 \h </w:instrText>
            </w:r>
            <w:r>
              <w:rPr>
                <w:noProof/>
              </w:rPr>
            </w:r>
            <w:r>
              <w:rPr>
                <w:noProof/>
              </w:rPr>
              <w:fldChar w:fldCharType="separate"/>
            </w:r>
            <w:r>
              <w:rPr>
                <w:noProof/>
              </w:rPr>
              <w:t>13</w:t>
            </w:r>
            <w:r>
              <w:rPr>
                <w:noProof/>
              </w:rPr>
              <w:fldChar w:fldCharType="end"/>
            </w:r>
          </w:hyperlink>
        </w:p>
        <w:p w14:paraId="699C2EB2" w14:textId="66568D5D"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289" w:history="1">
            <w:r w:rsidRPr="00662DC7">
              <w:rPr>
                <w:rStyle w:val="Hyperlink"/>
                <w:rFonts w:ascii="Times New Roman" w:hAnsi="Times New Roman" w:cs="Times New Roman"/>
                <w:noProof/>
              </w:rPr>
              <w:t>2.3.4 Rationale for Combining NDVI and NDWI in the Present Study</w:t>
            </w:r>
            <w:r>
              <w:rPr>
                <w:noProof/>
              </w:rPr>
              <w:tab/>
            </w:r>
            <w:r>
              <w:rPr>
                <w:noProof/>
              </w:rPr>
              <w:fldChar w:fldCharType="begin"/>
            </w:r>
            <w:r>
              <w:rPr>
                <w:noProof/>
              </w:rPr>
              <w:instrText xml:space="preserve"> PAGEREF _Toc237884289 \h </w:instrText>
            </w:r>
            <w:r>
              <w:rPr>
                <w:noProof/>
              </w:rPr>
            </w:r>
            <w:r>
              <w:rPr>
                <w:noProof/>
              </w:rPr>
              <w:fldChar w:fldCharType="separate"/>
            </w:r>
            <w:r>
              <w:rPr>
                <w:noProof/>
              </w:rPr>
              <w:t>14</w:t>
            </w:r>
            <w:r>
              <w:rPr>
                <w:noProof/>
              </w:rPr>
              <w:fldChar w:fldCharType="end"/>
            </w:r>
          </w:hyperlink>
        </w:p>
        <w:p w14:paraId="27B84CB0" w14:textId="65C86BFC"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290" w:history="1">
            <w:r w:rsidRPr="00662DC7">
              <w:rPr>
                <w:rStyle w:val="Hyperlink"/>
                <w:rFonts w:ascii="Times New Roman" w:hAnsi="Times New Roman" w:cs="Times New Roman"/>
                <w:noProof/>
              </w:rPr>
              <w:t>2.4 Application of Remote Sensing and NDVI in Aquatic Environments</w:t>
            </w:r>
            <w:r>
              <w:rPr>
                <w:noProof/>
              </w:rPr>
              <w:tab/>
            </w:r>
            <w:r>
              <w:rPr>
                <w:noProof/>
              </w:rPr>
              <w:fldChar w:fldCharType="begin"/>
            </w:r>
            <w:r>
              <w:rPr>
                <w:noProof/>
              </w:rPr>
              <w:instrText xml:space="preserve"> PAGEREF _Toc237884290 \h </w:instrText>
            </w:r>
            <w:r>
              <w:rPr>
                <w:noProof/>
              </w:rPr>
            </w:r>
            <w:r>
              <w:rPr>
                <w:noProof/>
              </w:rPr>
              <w:fldChar w:fldCharType="separate"/>
            </w:r>
            <w:r>
              <w:rPr>
                <w:noProof/>
              </w:rPr>
              <w:t>14</w:t>
            </w:r>
            <w:r>
              <w:rPr>
                <w:noProof/>
              </w:rPr>
              <w:fldChar w:fldCharType="end"/>
            </w:r>
          </w:hyperlink>
        </w:p>
        <w:p w14:paraId="6462D699" w14:textId="3BBC535D"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291" w:history="1">
            <w:r w:rsidRPr="00662DC7">
              <w:rPr>
                <w:rStyle w:val="Hyperlink"/>
                <w:rFonts w:ascii="Times New Roman" w:hAnsi="Times New Roman" w:cs="Times New Roman"/>
                <w:noProof/>
              </w:rPr>
              <w:t>2.4.1 Monitoring Floating Aquatic Weeds</w:t>
            </w:r>
            <w:r>
              <w:rPr>
                <w:noProof/>
              </w:rPr>
              <w:tab/>
            </w:r>
            <w:r>
              <w:rPr>
                <w:noProof/>
              </w:rPr>
              <w:fldChar w:fldCharType="begin"/>
            </w:r>
            <w:r>
              <w:rPr>
                <w:noProof/>
              </w:rPr>
              <w:instrText xml:space="preserve"> PAGEREF _Toc237884291 \h </w:instrText>
            </w:r>
            <w:r>
              <w:rPr>
                <w:noProof/>
              </w:rPr>
            </w:r>
            <w:r>
              <w:rPr>
                <w:noProof/>
              </w:rPr>
              <w:fldChar w:fldCharType="separate"/>
            </w:r>
            <w:r>
              <w:rPr>
                <w:noProof/>
              </w:rPr>
              <w:t>14</w:t>
            </w:r>
            <w:r>
              <w:rPr>
                <w:noProof/>
              </w:rPr>
              <w:fldChar w:fldCharType="end"/>
            </w:r>
          </w:hyperlink>
        </w:p>
        <w:p w14:paraId="3ECFA38B" w14:textId="488CB64F"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292" w:history="1">
            <w:r w:rsidRPr="00662DC7">
              <w:rPr>
                <w:rStyle w:val="Hyperlink"/>
                <w:rFonts w:ascii="Times New Roman" w:hAnsi="Times New Roman" w:cs="Times New Roman"/>
                <w:noProof/>
              </w:rPr>
              <w:t>2.4.2 Monitoring Submerged Aquatic Vegetation</w:t>
            </w:r>
            <w:r>
              <w:rPr>
                <w:noProof/>
              </w:rPr>
              <w:tab/>
            </w:r>
            <w:r>
              <w:rPr>
                <w:noProof/>
              </w:rPr>
              <w:fldChar w:fldCharType="begin"/>
            </w:r>
            <w:r>
              <w:rPr>
                <w:noProof/>
              </w:rPr>
              <w:instrText xml:space="preserve"> PAGEREF _Toc237884292 \h </w:instrText>
            </w:r>
            <w:r>
              <w:rPr>
                <w:noProof/>
              </w:rPr>
            </w:r>
            <w:r>
              <w:rPr>
                <w:noProof/>
              </w:rPr>
              <w:fldChar w:fldCharType="separate"/>
            </w:r>
            <w:r>
              <w:rPr>
                <w:noProof/>
              </w:rPr>
              <w:t>15</w:t>
            </w:r>
            <w:r>
              <w:rPr>
                <w:noProof/>
              </w:rPr>
              <w:fldChar w:fldCharType="end"/>
            </w:r>
          </w:hyperlink>
        </w:p>
        <w:p w14:paraId="3EC1DDEB" w14:textId="4020B529"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293" w:history="1">
            <w:r w:rsidRPr="00662DC7">
              <w:rPr>
                <w:rStyle w:val="Hyperlink"/>
                <w:rFonts w:ascii="Times New Roman" w:hAnsi="Times New Roman" w:cs="Times New Roman"/>
                <w:noProof/>
              </w:rPr>
              <w:t>2.4.3 Multi-Temporal Analysis and Climate-Driven Change</w:t>
            </w:r>
            <w:r>
              <w:rPr>
                <w:noProof/>
              </w:rPr>
              <w:tab/>
            </w:r>
            <w:r>
              <w:rPr>
                <w:noProof/>
              </w:rPr>
              <w:fldChar w:fldCharType="begin"/>
            </w:r>
            <w:r>
              <w:rPr>
                <w:noProof/>
              </w:rPr>
              <w:instrText xml:space="preserve"> PAGEREF _Toc237884293 \h </w:instrText>
            </w:r>
            <w:r>
              <w:rPr>
                <w:noProof/>
              </w:rPr>
            </w:r>
            <w:r>
              <w:rPr>
                <w:noProof/>
              </w:rPr>
              <w:fldChar w:fldCharType="separate"/>
            </w:r>
            <w:r>
              <w:rPr>
                <w:noProof/>
              </w:rPr>
              <w:t>15</w:t>
            </w:r>
            <w:r>
              <w:rPr>
                <w:noProof/>
              </w:rPr>
              <w:fldChar w:fldCharType="end"/>
            </w:r>
          </w:hyperlink>
        </w:p>
        <w:p w14:paraId="2E6B52B8" w14:textId="49EAA54F"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294" w:history="1">
            <w:r w:rsidRPr="00662DC7">
              <w:rPr>
                <w:rStyle w:val="Hyperlink"/>
                <w:rFonts w:ascii="Times New Roman" w:hAnsi="Times New Roman" w:cs="Times New Roman"/>
                <w:noProof/>
              </w:rPr>
              <w:t>2.5 Challenges and Limitations of Using NDVI for Aquatic Weed Monitoring</w:t>
            </w:r>
            <w:r>
              <w:rPr>
                <w:noProof/>
              </w:rPr>
              <w:tab/>
            </w:r>
            <w:r>
              <w:rPr>
                <w:noProof/>
              </w:rPr>
              <w:fldChar w:fldCharType="begin"/>
            </w:r>
            <w:r>
              <w:rPr>
                <w:noProof/>
              </w:rPr>
              <w:instrText xml:space="preserve"> PAGEREF _Toc237884294 \h </w:instrText>
            </w:r>
            <w:r>
              <w:rPr>
                <w:noProof/>
              </w:rPr>
            </w:r>
            <w:r>
              <w:rPr>
                <w:noProof/>
              </w:rPr>
              <w:fldChar w:fldCharType="separate"/>
            </w:r>
            <w:r>
              <w:rPr>
                <w:noProof/>
              </w:rPr>
              <w:t>16</w:t>
            </w:r>
            <w:r>
              <w:rPr>
                <w:noProof/>
              </w:rPr>
              <w:fldChar w:fldCharType="end"/>
            </w:r>
          </w:hyperlink>
        </w:p>
        <w:p w14:paraId="66512838" w14:textId="7E45D14B"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295" w:history="1">
            <w:r w:rsidRPr="00662DC7">
              <w:rPr>
                <w:rStyle w:val="Hyperlink"/>
                <w:rFonts w:ascii="Times New Roman" w:hAnsi="Times New Roman" w:cs="Times New Roman"/>
                <w:noProof/>
              </w:rPr>
              <w:t>2.5.1 Interference from the Water Column</w:t>
            </w:r>
            <w:r>
              <w:rPr>
                <w:noProof/>
              </w:rPr>
              <w:tab/>
            </w:r>
            <w:r>
              <w:rPr>
                <w:noProof/>
              </w:rPr>
              <w:fldChar w:fldCharType="begin"/>
            </w:r>
            <w:r>
              <w:rPr>
                <w:noProof/>
              </w:rPr>
              <w:instrText xml:space="preserve"> PAGEREF _Toc237884295 \h </w:instrText>
            </w:r>
            <w:r>
              <w:rPr>
                <w:noProof/>
              </w:rPr>
            </w:r>
            <w:r>
              <w:rPr>
                <w:noProof/>
              </w:rPr>
              <w:fldChar w:fldCharType="separate"/>
            </w:r>
            <w:r>
              <w:rPr>
                <w:noProof/>
              </w:rPr>
              <w:t>16</w:t>
            </w:r>
            <w:r>
              <w:rPr>
                <w:noProof/>
              </w:rPr>
              <w:fldChar w:fldCharType="end"/>
            </w:r>
          </w:hyperlink>
        </w:p>
        <w:p w14:paraId="5280E235" w14:textId="27CE157E"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296" w:history="1">
            <w:r w:rsidRPr="00662DC7">
              <w:rPr>
                <w:rStyle w:val="Hyperlink"/>
                <w:rFonts w:ascii="Times New Roman" w:hAnsi="Times New Roman" w:cs="Times New Roman"/>
                <w:noProof/>
              </w:rPr>
              <w:t>2.5.2 Spectral Confusion</w:t>
            </w:r>
            <w:r>
              <w:rPr>
                <w:noProof/>
              </w:rPr>
              <w:tab/>
            </w:r>
            <w:r>
              <w:rPr>
                <w:noProof/>
              </w:rPr>
              <w:fldChar w:fldCharType="begin"/>
            </w:r>
            <w:r>
              <w:rPr>
                <w:noProof/>
              </w:rPr>
              <w:instrText xml:space="preserve"> PAGEREF _Toc237884296 \h </w:instrText>
            </w:r>
            <w:r>
              <w:rPr>
                <w:noProof/>
              </w:rPr>
            </w:r>
            <w:r>
              <w:rPr>
                <w:noProof/>
              </w:rPr>
              <w:fldChar w:fldCharType="separate"/>
            </w:r>
            <w:r>
              <w:rPr>
                <w:noProof/>
              </w:rPr>
              <w:t>16</w:t>
            </w:r>
            <w:r>
              <w:rPr>
                <w:noProof/>
              </w:rPr>
              <w:fldChar w:fldCharType="end"/>
            </w:r>
          </w:hyperlink>
        </w:p>
        <w:p w14:paraId="3572DA61" w14:textId="3BBCF038"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297" w:history="1">
            <w:r w:rsidRPr="00662DC7">
              <w:rPr>
                <w:rStyle w:val="Hyperlink"/>
                <w:rFonts w:ascii="Times New Roman" w:hAnsi="Times New Roman" w:cs="Times New Roman"/>
                <w:noProof/>
              </w:rPr>
              <w:t>2.5.3 Trade-offs Between Spatial and Temporal Resolution</w:t>
            </w:r>
            <w:r>
              <w:rPr>
                <w:noProof/>
              </w:rPr>
              <w:tab/>
            </w:r>
            <w:r>
              <w:rPr>
                <w:noProof/>
              </w:rPr>
              <w:fldChar w:fldCharType="begin"/>
            </w:r>
            <w:r>
              <w:rPr>
                <w:noProof/>
              </w:rPr>
              <w:instrText xml:space="preserve"> PAGEREF _Toc237884297 \h </w:instrText>
            </w:r>
            <w:r>
              <w:rPr>
                <w:noProof/>
              </w:rPr>
            </w:r>
            <w:r>
              <w:rPr>
                <w:noProof/>
              </w:rPr>
              <w:fldChar w:fldCharType="separate"/>
            </w:r>
            <w:r>
              <w:rPr>
                <w:noProof/>
              </w:rPr>
              <w:t>16</w:t>
            </w:r>
            <w:r>
              <w:rPr>
                <w:noProof/>
              </w:rPr>
              <w:fldChar w:fldCharType="end"/>
            </w:r>
          </w:hyperlink>
        </w:p>
        <w:p w14:paraId="12308DE3" w14:textId="0AEFD0A0"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298" w:history="1">
            <w:r w:rsidRPr="00662DC7">
              <w:rPr>
                <w:rStyle w:val="Hyperlink"/>
                <w:rFonts w:ascii="Times New Roman" w:hAnsi="Times New Roman" w:cs="Times New Roman"/>
                <w:noProof/>
              </w:rPr>
              <w:t>2.5.4 Contextual Challenges for Small Tropical Lakes</w:t>
            </w:r>
            <w:r>
              <w:rPr>
                <w:noProof/>
              </w:rPr>
              <w:tab/>
            </w:r>
            <w:r>
              <w:rPr>
                <w:noProof/>
              </w:rPr>
              <w:fldChar w:fldCharType="begin"/>
            </w:r>
            <w:r>
              <w:rPr>
                <w:noProof/>
              </w:rPr>
              <w:instrText xml:space="preserve"> PAGEREF _Toc237884298 \h </w:instrText>
            </w:r>
            <w:r>
              <w:rPr>
                <w:noProof/>
              </w:rPr>
            </w:r>
            <w:r>
              <w:rPr>
                <w:noProof/>
              </w:rPr>
              <w:fldChar w:fldCharType="separate"/>
            </w:r>
            <w:r>
              <w:rPr>
                <w:noProof/>
              </w:rPr>
              <w:t>17</w:t>
            </w:r>
            <w:r>
              <w:rPr>
                <w:noProof/>
              </w:rPr>
              <w:fldChar w:fldCharType="end"/>
            </w:r>
          </w:hyperlink>
        </w:p>
        <w:p w14:paraId="6BBFFE5A" w14:textId="3ADCBBAE"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299" w:history="1">
            <w:r w:rsidRPr="00662DC7">
              <w:rPr>
                <w:rStyle w:val="Hyperlink"/>
                <w:rFonts w:ascii="Times New Roman" w:hAnsi="Times New Roman" w:cs="Times New Roman"/>
                <w:noProof/>
              </w:rPr>
              <w:t>2.6 Synthesis and Identification of the Research Gap</w:t>
            </w:r>
            <w:r>
              <w:rPr>
                <w:noProof/>
              </w:rPr>
              <w:tab/>
            </w:r>
            <w:r>
              <w:rPr>
                <w:noProof/>
              </w:rPr>
              <w:fldChar w:fldCharType="begin"/>
            </w:r>
            <w:r>
              <w:rPr>
                <w:noProof/>
              </w:rPr>
              <w:instrText xml:space="preserve"> PAGEREF _Toc237884299 \h </w:instrText>
            </w:r>
            <w:r>
              <w:rPr>
                <w:noProof/>
              </w:rPr>
            </w:r>
            <w:r>
              <w:rPr>
                <w:noProof/>
              </w:rPr>
              <w:fldChar w:fldCharType="separate"/>
            </w:r>
            <w:r>
              <w:rPr>
                <w:noProof/>
              </w:rPr>
              <w:t>17</w:t>
            </w:r>
            <w:r>
              <w:rPr>
                <w:noProof/>
              </w:rPr>
              <w:fldChar w:fldCharType="end"/>
            </w:r>
          </w:hyperlink>
        </w:p>
        <w:p w14:paraId="3F8DA813" w14:textId="70D01B20"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300" w:history="1">
            <w:r w:rsidRPr="00662DC7">
              <w:rPr>
                <w:rStyle w:val="Hyperlink"/>
                <w:rFonts w:ascii="Times New Roman" w:hAnsi="Times New Roman" w:cs="Times New Roman"/>
                <w:noProof/>
              </w:rPr>
              <w:t>2.6.1 Summary of Established Knowledge</w:t>
            </w:r>
            <w:r>
              <w:rPr>
                <w:noProof/>
              </w:rPr>
              <w:tab/>
            </w:r>
            <w:r>
              <w:rPr>
                <w:noProof/>
              </w:rPr>
              <w:fldChar w:fldCharType="begin"/>
            </w:r>
            <w:r>
              <w:rPr>
                <w:noProof/>
              </w:rPr>
              <w:instrText xml:space="preserve"> PAGEREF _Toc237884300 \h </w:instrText>
            </w:r>
            <w:r>
              <w:rPr>
                <w:noProof/>
              </w:rPr>
            </w:r>
            <w:r>
              <w:rPr>
                <w:noProof/>
              </w:rPr>
              <w:fldChar w:fldCharType="separate"/>
            </w:r>
            <w:r>
              <w:rPr>
                <w:noProof/>
              </w:rPr>
              <w:t>17</w:t>
            </w:r>
            <w:r>
              <w:rPr>
                <w:noProof/>
              </w:rPr>
              <w:fldChar w:fldCharType="end"/>
            </w:r>
          </w:hyperlink>
        </w:p>
        <w:p w14:paraId="3875B19A" w14:textId="708CAF2C"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301" w:history="1">
            <w:r w:rsidRPr="00662DC7">
              <w:rPr>
                <w:rStyle w:val="Hyperlink"/>
                <w:rFonts w:ascii="Times New Roman" w:hAnsi="Times New Roman" w:cs="Times New Roman"/>
                <w:noProof/>
              </w:rPr>
              <w:t>2.6.2 Critique of the Focus on Large Water Bodies</w:t>
            </w:r>
            <w:r>
              <w:rPr>
                <w:noProof/>
              </w:rPr>
              <w:tab/>
            </w:r>
            <w:r>
              <w:rPr>
                <w:noProof/>
              </w:rPr>
              <w:fldChar w:fldCharType="begin"/>
            </w:r>
            <w:r>
              <w:rPr>
                <w:noProof/>
              </w:rPr>
              <w:instrText xml:space="preserve"> PAGEREF _Toc237884301 \h </w:instrText>
            </w:r>
            <w:r>
              <w:rPr>
                <w:noProof/>
              </w:rPr>
            </w:r>
            <w:r>
              <w:rPr>
                <w:noProof/>
              </w:rPr>
              <w:fldChar w:fldCharType="separate"/>
            </w:r>
            <w:r>
              <w:rPr>
                <w:noProof/>
              </w:rPr>
              <w:t>17</w:t>
            </w:r>
            <w:r>
              <w:rPr>
                <w:noProof/>
              </w:rPr>
              <w:fldChar w:fldCharType="end"/>
            </w:r>
          </w:hyperlink>
        </w:p>
        <w:p w14:paraId="162B2C7A" w14:textId="24373B89"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302" w:history="1">
            <w:r w:rsidRPr="00662DC7">
              <w:rPr>
                <w:rStyle w:val="Hyperlink"/>
                <w:rFonts w:ascii="Times New Roman" w:hAnsi="Times New Roman" w:cs="Times New Roman"/>
                <w:noProof/>
              </w:rPr>
              <w:t>2.6.3 The Research Gap</w:t>
            </w:r>
            <w:r>
              <w:rPr>
                <w:noProof/>
              </w:rPr>
              <w:tab/>
            </w:r>
            <w:r>
              <w:rPr>
                <w:noProof/>
              </w:rPr>
              <w:fldChar w:fldCharType="begin"/>
            </w:r>
            <w:r>
              <w:rPr>
                <w:noProof/>
              </w:rPr>
              <w:instrText xml:space="preserve"> PAGEREF _Toc237884302 \h </w:instrText>
            </w:r>
            <w:r>
              <w:rPr>
                <w:noProof/>
              </w:rPr>
            </w:r>
            <w:r>
              <w:rPr>
                <w:noProof/>
              </w:rPr>
              <w:fldChar w:fldCharType="separate"/>
            </w:r>
            <w:r>
              <w:rPr>
                <w:noProof/>
              </w:rPr>
              <w:t>18</w:t>
            </w:r>
            <w:r>
              <w:rPr>
                <w:noProof/>
              </w:rPr>
              <w:fldChar w:fldCharType="end"/>
            </w:r>
          </w:hyperlink>
        </w:p>
        <w:p w14:paraId="1155FB65" w14:textId="212195B0"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303" w:history="1">
            <w:r w:rsidRPr="00662DC7">
              <w:rPr>
                <w:rStyle w:val="Hyperlink"/>
                <w:rFonts w:ascii="Times New Roman" w:hAnsi="Times New Roman" w:cs="Times New Roman"/>
                <w:noProof/>
              </w:rPr>
              <w:t>2.6.4 How the Present Study Addresses the Gap</w:t>
            </w:r>
            <w:r>
              <w:rPr>
                <w:noProof/>
              </w:rPr>
              <w:tab/>
            </w:r>
            <w:r>
              <w:rPr>
                <w:noProof/>
              </w:rPr>
              <w:fldChar w:fldCharType="begin"/>
            </w:r>
            <w:r>
              <w:rPr>
                <w:noProof/>
              </w:rPr>
              <w:instrText xml:space="preserve"> PAGEREF _Toc237884303 \h </w:instrText>
            </w:r>
            <w:r>
              <w:rPr>
                <w:noProof/>
              </w:rPr>
            </w:r>
            <w:r>
              <w:rPr>
                <w:noProof/>
              </w:rPr>
              <w:fldChar w:fldCharType="separate"/>
            </w:r>
            <w:r>
              <w:rPr>
                <w:noProof/>
              </w:rPr>
              <w:t>18</w:t>
            </w:r>
            <w:r>
              <w:rPr>
                <w:noProof/>
              </w:rPr>
              <w:fldChar w:fldCharType="end"/>
            </w:r>
          </w:hyperlink>
        </w:p>
        <w:p w14:paraId="2A9A1893" w14:textId="4228AE05"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304" w:history="1">
            <w:r w:rsidRPr="00662DC7">
              <w:rPr>
                <w:rStyle w:val="Hyperlink"/>
                <w:rFonts w:ascii="Times New Roman" w:hAnsi="Times New Roman" w:cs="Times New Roman"/>
                <w:noProof/>
              </w:rPr>
              <w:t>2.7 Conclusion</w:t>
            </w:r>
            <w:r>
              <w:rPr>
                <w:noProof/>
              </w:rPr>
              <w:tab/>
            </w:r>
            <w:r>
              <w:rPr>
                <w:noProof/>
              </w:rPr>
              <w:fldChar w:fldCharType="begin"/>
            </w:r>
            <w:r>
              <w:rPr>
                <w:noProof/>
              </w:rPr>
              <w:instrText xml:space="preserve"> PAGEREF _Toc237884304 \h </w:instrText>
            </w:r>
            <w:r>
              <w:rPr>
                <w:noProof/>
              </w:rPr>
            </w:r>
            <w:r>
              <w:rPr>
                <w:noProof/>
              </w:rPr>
              <w:fldChar w:fldCharType="separate"/>
            </w:r>
            <w:r>
              <w:rPr>
                <w:noProof/>
              </w:rPr>
              <w:t>18</w:t>
            </w:r>
            <w:r>
              <w:rPr>
                <w:noProof/>
              </w:rPr>
              <w:fldChar w:fldCharType="end"/>
            </w:r>
          </w:hyperlink>
        </w:p>
        <w:p w14:paraId="74AD92CB" w14:textId="400533C6" w:rsidR="00402E51" w:rsidRDefault="00402E51">
          <w:pPr>
            <w:pStyle w:val="TOC1"/>
            <w:tabs>
              <w:tab w:val="right" w:leader="dot" w:pos="9350"/>
            </w:tabs>
            <w:rPr>
              <w:rFonts w:asciiTheme="minorHAnsi" w:eastAsiaTheme="minorEastAsia" w:hAnsiTheme="minorHAnsi" w:cstheme="minorBidi"/>
              <w:noProof/>
              <w:kern w:val="2"/>
              <w14:ligatures w14:val="standardContextual"/>
            </w:rPr>
          </w:pPr>
          <w:hyperlink w:anchor="_Toc237884305" w:history="1">
            <w:r w:rsidRPr="00662DC7">
              <w:rPr>
                <w:rStyle w:val="Hyperlink"/>
                <w:rFonts w:ascii="Times New Roman" w:hAnsi="Times New Roman" w:cs="Times New Roman"/>
                <w:noProof/>
              </w:rPr>
              <w:t>CHAPTER THREE: MATERIALS AND METHODS</w:t>
            </w:r>
            <w:r>
              <w:rPr>
                <w:noProof/>
              </w:rPr>
              <w:tab/>
            </w:r>
            <w:r>
              <w:rPr>
                <w:noProof/>
              </w:rPr>
              <w:fldChar w:fldCharType="begin"/>
            </w:r>
            <w:r>
              <w:rPr>
                <w:noProof/>
              </w:rPr>
              <w:instrText xml:space="preserve"> PAGEREF _Toc237884305 \h </w:instrText>
            </w:r>
            <w:r>
              <w:rPr>
                <w:noProof/>
              </w:rPr>
            </w:r>
            <w:r>
              <w:rPr>
                <w:noProof/>
              </w:rPr>
              <w:fldChar w:fldCharType="separate"/>
            </w:r>
            <w:r>
              <w:rPr>
                <w:noProof/>
              </w:rPr>
              <w:t>20</w:t>
            </w:r>
            <w:r>
              <w:rPr>
                <w:noProof/>
              </w:rPr>
              <w:fldChar w:fldCharType="end"/>
            </w:r>
          </w:hyperlink>
        </w:p>
        <w:p w14:paraId="41E57C51" w14:textId="6F6786A2"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306" w:history="1">
            <w:r w:rsidRPr="00662DC7">
              <w:rPr>
                <w:rStyle w:val="Hyperlink"/>
                <w:rFonts w:ascii="Times New Roman" w:hAnsi="Times New Roman" w:cs="Times New Roman"/>
                <w:noProof/>
              </w:rPr>
              <w:t>3.1 Study Area</w:t>
            </w:r>
            <w:r>
              <w:rPr>
                <w:noProof/>
              </w:rPr>
              <w:tab/>
            </w:r>
            <w:r>
              <w:rPr>
                <w:noProof/>
              </w:rPr>
              <w:fldChar w:fldCharType="begin"/>
            </w:r>
            <w:r>
              <w:rPr>
                <w:noProof/>
              </w:rPr>
              <w:instrText xml:space="preserve"> PAGEREF _Toc237884306 \h </w:instrText>
            </w:r>
            <w:r>
              <w:rPr>
                <w:noProof/>
              </w:rPr>
            </w:r>
            <w:r>
              <w:rPr>
                <w:noProof/>
              </w:rPr>
              <w:fldChar w:fldCharType="separate"/>
            </w:r>
            <w:r>
              <w:rPr>
                <w:noProof/>
              </w:rPr>
              <w:t>20</w:t>
            </w:r>
            <w:r>
              <w:rPr>
                <w:noProof/>
              </w:rPr>
              <w:fldChar w:fldCharType="end"/>
            </w:r>
          </w:hyperlink>
        </w:p>
        <w:p w14:paraId="1BDF11F6" w14:textId="60EF651B"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307" w:history="1">
            <w:r w:rsidRPr="00662DC7">
              <w:rPr>
                <w:rStyle w:val="Hyperlink"/>
                <w:rFonts w:ascii="Times New Roman" w:hAnsi="Times New Roman" w:cs="Times New Roman"/>
                <w:noProof/>
              </w:rPr>
              <w:t>3.2 Research Approach</w:t>
            </w:r>
            <w:r>
              <w:rPr>
                <w:noProof/>
              </w:rPr>
              <w:tab/>
            </w:r>
            <w:r>
              <w:rPr>
                <w:noProof/>
              </w:rPr>
              <w:fldChar w:fldCharType="begin"/>
            </w:r>
            <w:r>
              <w:rPr>
                <w:noProof/>
              </w:rPr>
              <w:instrText xml:space="preserve"> PAGEREF _Toc237884307 \h </w:instrText>
            </w:r>
            <w:r>
              <w:rPr>
                <w:noProof/>
              </w:rPr>
            </w:r>
            <w:r>
              <w:rPr>
                <w:noProof/>
              </w:rPr>
              <w:fldChar w:fldCharType="separate"/>
            </w:r>
            <w:r>
              <w:rPr>
                <w:noProof/>
              </w:rPr>
              <w:t>21</w:t>
            </w:r>
            <w:r>
              <w:rPr>
                <w:noProof/>
              </w:rPr>
              <w:fldChar w:fldCharType="end"/>
            </w:r>
          </w:hyperlink>
        </w:p>
        <w:p w14:paraId="57C0B85F" w14:textId="2A2C892E"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308" w:history="1">
            <w:r w:rsidRPr="00662DC7">
              <w:rPr>
                <w:rStyle w:val="Hyperlink"/>
                <w:rFonts w:ascii="Times New Roman" w:hAnsi="Times New Roman" w:cs="Times New Roman"/>
                <w:noProof/>
              </w:rPr>
              <w:t>3.3 Research Design</w:t>
            </w:r>
            <w:r>
              <w:rPr>
                <w:noProof/>
              </w:rPr>
              <w:tab/>
            </w:r>
            <w:r>
              <w:rPr>
                <w:noProof/>
              </w:rPr>
              <w:fldChar w:fldCharType="begin"/>
            </w:r>
            <w:r>
              <w:rPr>
                <w:noProof/>
              </w:rPr>
              <w:instrText xml:space="preserve"> PAGEREF _Toc237884308 \h </w:instrText>
            </w:r>
            <w:r>
              <w:rPr>
                <w:noProof/>
              </w:rPr>
            </w:r>
            <w:r>
              <w:rPr>
                <w:noProof/>
              </w:rPr>
              <w:fldChar w:fldCharType="separate"/>
            </w:r>
            <w:r>
              <w:rPr>
                <w:noProof/>
              </w:rPr>
              <w:t>22</w:t>
            </w:r>
            <w:r>
              <w:rPr>
                <w:noProof/>
              </w:rPr>
              <w:fldChar w:fldCharType="end"/>
            </w:r>
          </w:hyperlink>
        </w:p>
        <w:p w14:paraId="176E0296" w14:textId="133FD9AD"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309" w:history="1">
            <w:r w:rsidRPr="00662DC7">
              <w:rPr>
                <w:rStyle w:val="Hyperlink"/>
                <w:rFonts w:ascii="Times New Roman" w:hAnsi="Times New Roman" w:cs="Times New Roman"/>
                <w:noProof/>
              </w:rPr>
              <w:t>3.4 Data Source and Acquisition</w:t>
            </w:r>
            <w:r>
              <w:rPr>
                <w:noProof/>
              </w:rPr>
              <w:tab/>
            </w:r>
            <w:r>
              <w:rPr>
                <w:noProof/>
              </w:rPr>
              <w:fldChar w:fldCharType="begin"/>
            </w:r>
            <w:r>
              <w:rPr>
                <w:noProof/>
              </w:rPr>
              <w:instrText xml:space="preserve"> PAGEREF _Toc237884309 \h </w:instrText>
            </w:r>
            <w:r>
              <w:rPr>
                <w:noProof/>
              </w:rPr>
            </w:r>
            <w:r>
              <w:rPr>
                <w:noProof/>
              </w:rPr>
              <w:fldChar w:fldCharType="separate"/>
            </w:r>
            <w:r>
              <w:rPr>
                <w:noProof/>
              </w:rPr>
              <w:t>23</w:t>
            </w:r>
            <w:r>
              <w:rPr>
                <w:noProof/>
              </w:rPr>
              <w:fldChar w:fldCharType="end"/>
            </w:r>
          </w:hyperlink>
        </w:p>
        <w:p w14:paraId="7265E172" w14:textId="5BC1BC9D"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310" w:history="1">
            <w:r w:rsidRPr="00662DC7">
              <w:rPr>
                <w:rStyle w:val="Hyperlink"/>
                <w:rFonts w:ascii="Times New Roman" w:hAnsi="Times New Roman" w:cs="Times New Roman"/>
                <w:noProof/>
              </w:rPr>
              <w:t>3.5 Sampling Design</w:t>
            </w:r>
            <w:r>
              <w:rPr>
                <w:noProof/>
              </w:rPr>
              <w:tab/>
            </w:r>
            <w:r>
              <w:rPr>
                <w:noProof/>
              </w:rPr>
              <w:fldChar w:fldCharType="begin"/>
            </w:r>
            <w:r>
              <w:rPr>
                <w:noProof/>
              </w:rPr>
              <w:instrText xml:space="preserve"> PAGEREF _Toc237884310 \h </w:instrText>
            </w:r>
            <w:r>
              <w:rPr>
                <w:noProof/>
              </w:rPr>
            </w:r>
            <w:r>
              <w:rPr>
                <w:noProof/>
              </w:rPr>
              <w:fldChar w:fldCharType="separate"/>
            </w:r>
            <w:r>
              <w:rPr>
                <w:noProof/>
              </w:rPr>
              <w:t>23</w:t>
            </w:r>
            <w:r>
              <w:rPr>
                <w:noProof/>
              </w:rPr>
              <w:fldChar w:fldCharType="end"/>
            </w:r>
          </w:hyperlink>
        </w:p>
        <w:p w14:paraId="4986D204" w14:textId="395667F4"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311" w:history="1">
            <w:r w:rsidRPr="00662DC7">
              <w:rPr>
                <w:rStyle w:val="Hyperlink"/>
                <w:rFonts w:ascii="Times New Roman" w:hAnsi="Times New Roman" w:cs="Times New Roman"/>
                <w:noProof/>
              </w:rPr>
              <w:t>3.6 Computation of Spectral Indices</w:t>
            </w:r>
            <w:r>
              <w:rPr>
                <w:noProof/>
              </w:rPr>
              <w:tab/>
            </w:r>
            <w:r>
              <w:rPr>
                <w:noProof/>
              </w:rPr>
              <w:fldChar w:fldCharType="begin"/>
            </w:r>
            <w:r>
              <w:rPr>
                <w:noProof/>
              </w:rPr>
              <w:instrText xml:space="preserve"> PAGEREF _Toc237884311 \h </w:instrText>
            </w:r>
            <w:r>
              <w:rPr>
                <w:noProof/>
              </w:rPr>
            </w:r>
            <w:r>
              <w:rPr>
                <w:noProof/>
              </w:rPr>
              <w:fldChar w:fldCharType="separate"/>
            </w:r>
            <w:r>
              <w:rPr>
                <w:noProof/>
              </w:rPr>
              <w:t>25</w:t>
            </w:r>
            <w:r>
              <w:rPr>
                <w:noProof/>
              </w:rPr>
              <w:fldChar w:fldCharType="end"/>
            </w:r>
          </w:hyperlink>
        </w:p>
        <w:p w14:paraId="5433CA2E" w14:textId="7AFE125A"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312" w:history="1">
            <w:r w:rsidRPr="00662DC7">
              <w:rPr>
                <w:rStyle w:val="Hyperlink"/>
                <w:rFonts w:ascii="Times New Roman" w:hAnsi="Times New Roman" w:cs="Times New Roman"/>
                <w:noProof/>
              </w:rPr>
              <w:t>3.7 Weed-Cover Classification</w:t>
            </w:r>
            <w:r>
              <w:rPr>
                <w:noProof/>
              </w:rPr>
              <w:tab/>
            </w:r>
            <w:r>
              <w:rPr>
                <w:noProof/>
              </w:rPr>
              <w:fldChar w:fldCharType="begin"/>
            </w:r>
            <w:r>
              <w:rPr>
                <w:noProof/>
              </w:rPr>
              <w:instrText xml:space="preserve"> PAGEREF _Toc237884312 \h </w:instrText>
            </w:r>
            <w:r>
              <w:rPr>
                <w:noProof/>
              </w:rPr>
            </w:r>
            <w:r>
              <w:rPr>
                <w:noProof/>
              </w:rPr>
              <w:fldChar w:fldCharType="separate"/>
            </w:r>
            <w:r>
              <w:rPr>
                <w:noProof/>
              </w:rPr>
              <w:t>25</w:t>
            </w:r>
            <w:r>
              <w:rPr>
                <w:noProof/>
              </w:rPr>
              <w:fldChar w:fldCharType="end"/>
            </w:r>
          </w:hyperlink>
        </w:p>
        <w:p w14:paraId="61E021AC" w14:textId="7244D698"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313" w:history="1">
            <w:r w:rsidRPr="00662DC7">
              <w:rPr>
                <w:rStyle w:val="Hyperlink"/>
                <w:rFonts w:ascii="Times New Roman" w:hAnsi="Times New Roman" w:cs="Times New Roman"/>
                <w:noProof/>
              </w:rPr>
              <w:t>3.8 Study Variables and Measurement</w:t>
            </w:r>
            <w:r>
              <w:rPr>
                <w:noProof/>
              </w:rPr>
              <w:tab/>
            </w:r>
            <w:r>
              <w:rPr>
                <w:noProof/>
              </w:rPr>
              <w:fldChar w:fldCharType="begin"/>
            </w:r>
            <w:r>
              <w:rPr>
                <w:noProof/>
              </w:rPr>
              <w:instrText xml:space="preserve"> PAGEREF _Toc237884313 \h </w:instrText>
            </w:r>
            <w:r>
              <w:rPr>
                <w:noProof/>
              </w:rPr>
            </w:r>
            <w:r>
              <w:rPr>
                <w:noProof/>
              </w:rPr>
              <w:fldChar w:fldCharType="separate"/>
            </w:r>
            <w:r>
              <w:rPr>
                <w:noProof/>
              </w:rPr>
              <w:t>26</w:t>
            </w:r>
            <w:r>
              <w:rPr>
                <w:noProof/>
              </w:rPr>
              <w:fldChar w:fldCharType="end"/>
            </w:r>
          </w:hyperlink>
        </w:p>
        <w:p w14:paraId="6E78B0F4" w14:textId="7BA4B4B2"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314" w:history="1">
            <w:r w:rsidRPr="00662DC7">
              <w:rPr>
                <w:rStyle w:val="Hyperlink"/>
                <w:rFonts w:ascii="Times New Roman" w:hAnsi="Times New Roman" w:cs="Times New Roman"/>
                <w:noProof/>
              </w:rPr>
              <w:t>3.9 Data Analysis</w:t>
            </w:r>
            <w:r>
              <w:rPr>
                <w:noProof/>
              </w:rPr>
              <w:tab/>
            </w:r>
            <w:r>
              <w:rPr>
                <w:noProof/>
              </w:rPr>
              <w:fldChar w:fldCharType="begin"/>
            </w:r>
            <w:r>
              <w:rPr>
                <w:noProof/>
              </w:rPr>
              <w:instrText xml:space="preserve"> PAGEREF _Toc237884314 \h </w:instrText>
            </w:r>
            <w:r>
              <w:rPr>
                <w:noProof/>
              </w:rPr>
            </w:r>
            <w:r>
              <w:rPr>
                <w:noProof/>
              </w:rPr>
              <w:fldChar w:fldCharType="separate"/>
            </w:r>
            <w:r>
              <w:rPr>
                <w:noProof/>
              </w:rPr>
              <w:t>26</w:t>
            </w:r>
            <w:r>
              <w:rPr>
                <w:noProof/>
              </w:rPr>
              <w:fldChar w:fldCharType="end"/>
            </w:r>
          </w:hyperlink>
        </w:p>
        <w:p w14:paraId="272968F1" w14:textId="56EFF3FA"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315" w:history="1">
            <w:r w:rsidRPr="00662DC7">
              <w:rPr>
                <w:rStyle w:val="Hyperlink"/>
                <w:rFonts w:ascii="Times New Roman" w:hAnsi="Times New Roman" w:cs="Times New Roman"/>
                <w:noProof/>
              </w:rPr>
              <w:t>3.9.1 Descriptive Statistics</w:t>
            </w:r>
            <w:r>
              <w:rPr>
                <w:noProof/>
              </w:rPr>
              <w:tab/>
            </w:r>
            <w:r>
              <w:rPr>
                <w:noProof/>
              </w:rPr>
              <w:fldChar w:fldCharType="begin"/>
            </w:r>
            <w:r>
              <w:rPr>
                <w:noProof/>
              </w:rPr>
              <w:instrText xml:space="preserve"> PAGEREF _Toc237884315 \h </w:instrText>
            </w:r>
            <w:r>
              <w:rPr>
                <w:noProof/>
              </w:rPr>
            </w:r>
            <w:r>
              <w:rPr>
                <w:noProof/>
              </w:rPr>
              <w:fldChar w:fldCharType="separate"/>
            </w:r>
            <w:r>
              <w:rPr>
                <w:noProof/>
              </w:rPr>
              <w:t>27</w:t>
            </w:r>
            <w:r>
              <w:rPr>
                <w:noProof/>
              </w:rPr>
              <w:fldChar w:fldCharType="end"/>
            </w:r>
          </w:hyperlink>
        </w:p>
        <w:p w14:paraId="7AABB964" w14:textId="2A0E8096"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316" w:history="1">
            <w:r w:rsidRPr="00662DC7">
              <w:rPr>
                <w:rStyle w:val="Hyperlink"/>
                <w:rFonts w:ascii="Times New Roman" w:hAnsi="Times New Roman" w:cs="Times New Roman"/>
                <w:noProof/>
              </w:rPr>
              <w:t>3.9.2 Research Hypotheses</w:t>
            </w:r>
            <w:r>
              <w:rPr>
                <w:noProof/>
              </w:rPr>
              <w:tab/>
            </w:r>
            <w:r>
              <w:rPr>
                <w:noProof/>
              </w:rPr>
              <w:fldChar w:fldCharType="begin"/>
            </w:r>
            <w:r>
              <w:rPr>
                <w:noProof/>
              </w:rPr>
              <w:instrText xml:space="preserve"> PAGEREF _Toc237884316 \h </w:instrText>
            </w:r>
            <w:r>
              <w:rPr>
                <w:noProof/>
              </w:rPr>
            </w:r>
            <w:r>
              <w:rPr>
                <w:noProof/>
              </w:rPr>
              <w:fldChar w:fldCharType="separate"/>
            </w:r>
            <w:r>
              <w:rPr>
                <w:noProof/>
              </w:rPr>
              <w:t>27</w:t>
            </w:r>
            <w:r>
              <w:rPr>
                <w:noProof/>
              </w:rPr>
              <w:fldChar w:fldCharType="end"/>
            </w:r>
          </w:hyperlink>
        </w:p>
        <w:p w14:paraId="28F43B59" w14:textId="6BF0F916"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317" w:history="1">
            <w:r w:rsidRPr="00662DC7">
              <w:rPr>
                <w:rStyle w:val="Hyperlink"/>
                <w:rFonts w:ascii="Times New Roman" w:hAnsi="Times New Roman" w:cs="Times New Roman"/>
                <w:noProof/>
              </w:rPr>
              <w:t>3.9.3 Tests of Group Differences</w:t>
            </w:r>
            <w:r>
              <w:rPr>
                <w:noProof/>
              </w:rPr>
              <w:tab/>
            </w:r>
            <w:r>
              <w:rPr>
                <w:noProof/>
              </w:rPr>
              <w:fldChar w:fldCharType="begin"/>
            </w:r>
            <w:r>
              <w:rPr>
                <w:noProof/>
              </w:rPr>
              <w:instrText xml:space="preserve"> PAGEREF _Toc237884317 \h </w:instrText>
            </w:r>
            <w:r>
              <w:rPr>
                <w:noProof/>
              </w:rPr>
            </w:r>
            <w:r>
              <w:rPr>
                <w:noProof/>
              </w:rPr>
              <w:fldChar w:fldCharType="separate"/>
            </w:r>
            <w:r>
              <w:rPr>
                <w:noProof/>
              </w:rPr>
              <w:t>27</w:t>
            </w:r>
            <w:r>
              <w:rPr>
                <w:noProof/>
              </w:rPr>
              <w:fldChar w:fldCharType="end"/>
            </w:r>
          </w:hyperlink>
        </w:p>
        <w:p w14:paraId="3C958F49" w14:textId="4A506CE9"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318" w:history="1">
            <w:r w:rsidRPr="00662DC7">
              <w:rPr>
                <w:rStyle w:val="Hyperlink"/>
                <w:rFonts w:ascii="Times New Roman" w:hAnsi="Times New Roman" w:cs="Times New Roman"/>
                <w:noProof/>
              </w:rPr>
              <w:t>3.9.4 Correlation Analysis</w:t>
            </w:r>
            <w:r>
              <w:rPr>
                <w:noProof/>
              </w:rPr>
              <w:tab/>
            </w:r>
            <w:r>
              <w:rPr>
                <w:noProof/>
              </w:rPr>
              <w:fldChar w:fldCharType="begin"/>
            </w:r>
            <w:r>
              <w:rPr>
                <w:noProof/>
              </w:rPr>
              <w:instrText xml:space="preserve"> PAGEREF _Toc237884318 \h </w:instrText>
            </w:r>
            <w:r>
              <w:rPr>
                <w:noProof/>
              </w:rPr>
            </w:r>
            <w:r>
              <w:rPr>
                <w:noProof/>
              </w:rPr>
              <w:fldChar w:fldCharType="separate"/>
            </w:r>
            <w:r>
              <w:rPr>
                <w:noProof/>
              </w:rPr>
              <w:t>28</w:t>
            </w:r>
            <w:r>
              <w:rPr>
                <w:noProof/>
              </w:rPr>
              <w:fldChar w:fldCharType="end"/>
            </w:r>
          </w:hyperlink>
        </w:p>
        <w:p w14:paraId="50A6C813" w14:textId="606C7B77"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319" w:history="1">
            <w:r w:rsidRPr="00662DC7">
              <w:rPr>
                <w:rStyle w:val="Hyperlink"/>
                <w:rFonts w:ascii="Times New Roman" w:hAnsi="Times New Roman" w:cs="Times New Roman"/>
                <w:noProof/>
              </w:rPr>
              <w:t>3.9.5 Statistical Assumptions</w:t>
            </w:r>
            <w:r>
              <w:rPr>
                <w:noProof/>
              </w:rPr>
              <w:tab/>
            </w:r>
            <w:r>
              <w:rPr>
                <w:noProof/>
              </w:rPr>
              <w:fldChar w:fldCharType="begin"/>
            </w:r>
            <w:r>
              <w:rPr>
                <w:noProof/>
              </w:rPr>
              <w:instrText xml:space="preserve"> PAGEREF _Toc237884319 \h </w:instrText>
            </w:r>
            <w:r>
              <w:rPr>
                <w:noProof/>
              </w:rPr>
            </w:r>
            <w:r>
              <w:rPr>
                <w:noProof/>
              </w:rPr>
              <w:fldChar w:fldCharType="separate"/>
            </w:r>
            <w:r>
              <w:rPr>
                <w:noProof/>
              </w:rPr>
              <w:t>28</w:t>
            </w:r>
            <w:r>
              <w:rPr>
                <w:noProof/>
              </w:rPr>
              <w:fldChar w:fldCharType="end"/>
            </w:r>
          </w:hyperlink>
        </w:p>
        <w:p w14:paraId="2956519A" w14:textId="17DC5FAA"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320" w:history="1">
            <w:r w:rsidRPr="00662DC7">
              <w:rPr>
                <w:rStyle w:val="Hyperlink"/>
                <w:rFonts w:ascii="Times New Roman" w:hAnsi="Times New Roman" w:cs="Times New Roman"/>
                <w:noProof/>
              </w:rPr>
              <w:t>3.9.6 Software and Reproducibility</w:t>
            </w:r>
            <w:r>
              <w:rPr>
                <w:noProof/>
              </w:rPr>
              <w:tab/>
            </w:r>
            <w:r>
              <w:rPr>
                <w:noProof/>
              </w:rPr>
              <w:fldChar w:fldCharType="begin"/>
            </w:r>
            <w:r>
              <w:rPr>
                <w:noProof/>
              </w:rPr>
              <w:instrText xml:space="preserve"> PAGEREF _Toc237884320 \h </w:instrText>
            </w:r>
            <w:r>
              <w:rPr>
                <w:noProof/>
              </w:rPr>
            </w:r>
            <w:r>
              <w:rPr>
                <w:noProof/>
              </w:rPr>
              <w:fldChar w:fldCharType="separate"/>
            </w:r>
            <w:r>
              <w:rPr>
                <w:noProof/>
              </w:rPr>
              <w:t>28</w:t>
            </w:r>
            <w:r>
              <w:rPr>
                <w:noProof/>
              </w:rPr>
              <w:fldChar w:fldCharType="end"/>
            </w:r>
          </w:hyperlink>
        </w:p>
        <w:p w14:paraId="6F854C78" w14:textId="758334A9"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321" w:history="1">
            <w:r w:rsidRPr="00662DC7">
              <w:rPr>
                <w:rStyle w:val="Hyperlink"/>
                <w:rFonts w:ascii="Times New Roman" w:hAnsi="Times New Roman" w:cs="Times New Roman"/>
                <w:noProof/>
              </w:rPr>
              <w:t>3.10 Reliability, Validity and Methodological Limitations</w:t>
            </w:r>
            <w:r>
              <w:rPr>
                <w:noProof/>
              </w:rPr>
              <w:tab/>
            </w:r>
            <w:r>
              <w:rPr>
                <w:noProof/>
              </w:rPr>
              <w:fldChar w:fldCharType="begin"/>
            </w:r>
            <w:r>
              <w:rPr>
                <w:noProof/>
              </w:rPr>
              <w:instrText xml:space="preserve"> PAGEREF _Toc237884321 \h </w:instrText>
            </w:r>
            <w:r>
              <w:rPr>
                <w:noProof/>
              </w:rPr>
            </w:r>
            <w:r>
              <w:rPr>
                <w:noProof/>
              </w:rPr>
              <w:fldChar w:fldCharType="separate"/>
            </w:r>
            <w:r>
              <w:rPr>
                <w:noProof/>
              </w:rPr>
              <w:t>28</w:t>
            </w:r>
            <w:r>
              <w:rPr>
                <w:noProof/>
              </w:rPr>
              <w:fldChar w:fldCharType="end"/>
            </w:r>
          </w:hyperlink>
        </w:p>
        <w:p w14:paraId="67D39B64" w14:textId="12881FD6"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322" w:history="1">
            <w:r w:rsidRPr="00662DC7">
              <w:rPr>
                <w:rStyle w:val="Hyperlink"/>
                <w:rFonts w:ascii="Times New Roman" w:hAnsi="Times New Roman" w:cs="Times New Roman"/>
                <w:noProof/>
              </w:rPr>
              <w:t>3.11 Ethical Considerations</w:t>
            </w:r>
            <w:r>
              <w:rPr>
                <w:noProof/>
              </w:rPr>
              <w:tab/>
            </w:r>
            <w:r>
              <w:rPr>
                <w:noProof/>
              </w:rPr>
              <w:fldChar w:fldCharType="begin"/>
            </w:r>
            <w:r>
              <w:rPr>
                <w:noProof/>
              </w:rPr>
              <w:instrText xml:space="preserve"> PAGEREF _Toc237884322 \h </w:instrText>
            </w:r>
            <w:r>
              <w:rPr>
                <w:noProof/>
              </w:rPr>
            </w:r>
            <w:r>
              <w:rPr>
                <w:noProof/>
              </w:rPr>
              <w:fldChar w:fldCharType="separate"/>
            </w:r>
            <w:r>
              <w:rPr>
                <w:noProof/>
              </w:rPr>
              <w:t>29</w:t>
            </w:r>
            <w:r>
              <w:rPr>
                <w:noProof/>
              </w:rPr>
              <w:fldChar w:fldCharType="end"/>
            </w:r>
          </w:hyperlink>
        </w:p>
        <w:p w14:paraId="3BFD38A6" w14:textId="4E3468AD" w:rsidR="00402E51" w:rsidRDefault="00402E51">
          <w:pPr>
            <w:pStyle w:val="TOC1"/>
            <w:tabs>
              <w:tab w:val="right" w:leader="dot" w:pos="9350"/>
            </w:tabs>
            <w:rPr>
              <w:rFonts w:asciiTheme="minorHAnsi" w:eastAsiaTheme="minorEastAsia" w:hAnsiTheme="minorHAnsi" w:cstheme="minorBidi"/>
              <w:noProof/>
              <w:kern w:val="2"/>
              <w14:ligatures w14:val="standardContextual"/>
            </w:rPr>
          </w:pPr>
          <w:hyperlink w:anchor="_Toc237884323" w:history="1">
            <w:r w:rsidRPr="00662DC7">
              <w:rPr>
                <w:rStyle w:val="Hyperlink"/>
                <w:rFonts w:ascii="Times New Roman" w:hAnsi="Times New Roman" w:cs="Times New Roman"/>
                <w:noProof/>
              </w:rPr>
              <w:t>CHAPTER FOUR: RESULTS AND DISCUSSION</w:t>
            </w:r>
            <w:r>
              <w:rPr>
                <w:noProof/>
              </w:rPr>
              <w:tab/>
            </w:r>
            <w:r>
              <w:rPr>
                <w:noProof/>
              </w:rPr>
              <w:fldChar w:fldCharType="begin"/>
            </w:r>
            <w:r>
              <w:rPr>
                <w:noProof/>
              </w:rPr>
              <w:instrText xml:space="preserve"> PAGEREF _Toc237884323 \h </w:instrText>
            </w:r>
            <w:r>
              <w:rPr>
                <w:noProof/>
              </w:rPr>
            </w:r>
            <w:r>
              <w:rPr>
                <w:noProof/>
              </w:rPr>
              <w:fldChar w:fldCharType="separate"/>
            </w:r>
            <w:r>
              <w:rPr>
                <w:noProof/>
              </w:rPr>
              <w:t>30</w:t>
            </w:r>
            <w:r>
              <w:rPr>
                <w:noProof/>
              </w:rPr>
              <w:fldChar w:fldCharType="end"/>
            </w:r>
          </w:hyperlink>
        </w:p>
        <w:p w14:paraId="7C7312AA" w14:textId="6B12D626"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324" w:history="1">
            <w:r w:rsidRPr="00662DC7">
              <w:rPr>
                <w:rStyle w:val="Hyperlink"/>
                <w:rFonts w:ascii="Times New Roman" w:hAnsi="Times New Roman" w:cs="Times New Roman"/>
                <w:noProof/>
              </w:rPr>
              <w:t>4.1 Introduction</w:t>
            </w:r>
            <w:r>
              <w:rPr>
                <w:noProof/>
              </w:rPr>
              <w:tab/>
            </w:r>
            <w:r>
              <w:rPr>
                <w:noProof/>
              </w:rPr>
              <w:fldChar w:fldCharType="begin"/>
            </w:r>
            <w:r>
              <w:rPr>
                <w:noProof/>
              </w:rPr>
              <w:instrText xml:space="preserve"> PAGEREF _Toc237884324 \h </w:instrText>
            </w:r>
            <w:r>
              <w:rPr>
                <w:noProof/>
              </w:rPr>
            </w:r>
            <w:r>
              <w:rPr>
                <w:noProof/>
              </w:rPr>
              <w:fldChar w:fldCharType="separate"/>
            </w:r>
            <w:r>
              <w:rPr>
                <w:noProof/>
              </w:rPr>
              <w:t>30</w:t>
            </w:r>
            <w:r>
              <w:rPr>
                <w:noProof/>
              </w:rPr>
              <w:fldChar w:fldCharType="end"/>
            </w:r>
          </w:hyperlink>
        </w:p>
        <w:p w14:paraId="65A00635" w14:textId="5817D069"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325" w:history="1">
            <w:r w:rsidRPr="00662DC7">
              <w:rPr>
                <w:rStyle w:val="Hyperlink"/>
                <w:rFonts w:ascii="Times New Roman" w:hAnsi="Times New Roman" w:cs="Times New Roman"/>
                <w:noProof/>
              </w:rPr>
              <w:t>4.2 General Dataset Characteristics</w:t>
            </w:r>
            <w:r>
              <w:rPr>
                <w:noProof/>
              </w:rPr>
              <w:tab/>
            </w:r>
            <w:r>
              <w:rPr>
                <w:noProof/>
              </w:rPr>
              <w:fldChar w:fldCharType="begin"/>
            </w:r>
            <w:r>
              <w:rPr>
                <w:noProof/>
              </w:rPr>
              <w:instrText xml:space="preserve"> PAGEREF _Toc237884325 \h </w:instrText>
            </w:r>
            <w:r>
              <w:rPr>
                <w:noProof/>
              </w:rPr>
            </w:r>
            <w:r>
              <w:rPr>
                <w:noProof/>
              </w:rPr>
              <w:fldChar w:fldCharType="separate"/>
            </w:r>
            <w:r>
              <w:rPr>
                <w:noProof/>
              </w:rPr>
              <w:t>30</w:t>
            </w:r>
            <w:r>
              <w:rPr>
                <w:noProof/>
              </w:rPr>
              <w:fldChar w:fldCharType="end"/>
            </w:r>
          </w:hyperlink>
        </w:p>
        <w:p w14:paraId="471B023C" w14:textId="23569650"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326" w:history="1">
            <w:r w:rsidRPr="00662DC7">
              <w:rPr>
                <w:rStyle w:val="Hyperlink"/>
                <w:rFonts w:ascii="Times New Roman" w:hAnsi="Times New Roman" w:cs="Times New Roman"/>
                <w:noProof/>
              </w:rPr>
              <w:t>4.3 Spatial Distribution of NDVI and NDWI by Zone Type</w:t>
            </w:r>
            <w:r>
              <w:rPr>
                <w:noProof/>
              </w:rPr>
              <w:tab/>
            </w:r>
            <w:r>
              <w:rPr>
                <w:noProof/>
              </w:rPr>
              <w:fldChar w:fldCharType="begin"/>
            </w:r>
            <w:r>
              <w:rPr>
                <w:noProof/>
              </w:rPr>
              <w:instrText xml:space="preserve"> PAGEREF _Toc237884326 \h </w:instrText>
            </w:r>
            <w:r>
              <w:rPr>
                <w:noProof/>
              </w:rPr>
            </w:r>
            <w:r>
              <w:rPr>
                <w:noProof/>
              </w:rPr>
              <w:fldChar w:fldCharType="separate"/>
            </w:r>
            <w:r>
              <w:rPr>
                <w:noProof/>
              </w:rPr>
              <w:t>31</w:t>
            </w:r>
            <w:r>
              <w:rPr>
                <w:noProof/>
              </w:rPr>
              <w:fldChar w:fldCharType="end"/>
            </w:r>
          </w:hyperlink>
        </w:p>
        <w:p w14:paraId="72318F9C" w14:textId="37686277"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327" w:history="1">
            <w:r w:rsidRPr="00662DC7">
              <w:rPr>
                <w:rStyle w:val="Hyperlink"/>
                <w:rFonts w:ascii="Times New Roman" w:hAnsi="Times New Roman" w:cs="Times New Roman"/>
                <w:noProof/>
              </w:rPr>
              <w:t>4.3.1 Test of Differences Among Zone Types (Hypothesis H1)</w:t>
            </w:r>
            <w:r>
              <w:rPr>
                <w:noProof/>
              </w:rPr>
              <w:tab/>
            </w:r>
            <w:r>
              <w:rPr>
                <w:noProof/>
              </w:rPr>
              <w:fldChar w:fldCharType="begin"/>
            </w:r>
            <w:r>
              <w:rPr>
                <w:noProof/>
              </w:rPr>
              <w:instrText xml:space="preserve"> PAGEREF _Toc237884327 \h </w:instrText>
            </w:r>
            <w:r>
              <w:rPr>
                <w:noProof/>
              </w:rPr>
            </w:r>
            <w:r>
              <w:rPr>
                <w:noProof/>
              </w:rPr>
              <w:fldChar w:fldCharType="separate"/>
            </w:r>
            <w:r>
              <w:rPr>
                <w:noProof/>
              </w:rPr>
              <w:t>35</w:t>
            </w:r>
            <w:r>
              <w:rPr>
                <w:noProof/>
              </w:rPr>
              <w:fldChar w:fldCharType="end"/>
            </w:r>
          </w:hyperlink>
        </w:p>
        <w:p w14:paraId="725F4F60" w14:textId="2EB554CC"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328" w:history="1">
            <w:r w:rsidRPr="00662DC7">
              <w:rPr>
                <w:rStyle w:val="Hyperlink"/>
                <w:rFonts w:ascii="Times New Roman" w:hAnsi="Times New Roman" w:cs="Times New Roman"/>
                <w:noProof/>
              </w:rPr>
              <w:t>4.4 Regional Variation in NDVI and NDWI</w:t>
            </w:r>
            <w:r>
              <w:rPr>
                <w:noProof/>
              </w:rPr>
              <w:tab/>
            </w:r>
            <w:r>
              <w:rPr>
                <w:noProof/>
              </w:rPr>
              <w:fldChar w:fldCharType="begin"/>
            </w:r>
            <w:r>
              <w:rPr>
                <w:noProof/>
              </w:rPr>
              <w:instrText xml:space="preserve"> PAGEREF _Toc237884328 \h </w:instrText>
            </w:r>
            <w:r>
              <w:rPr>
                <w:noProof/>
              </w:rPr>
            </w:r>
            <w:r>
              <w:rPr>
                <w:noProof/>
              </w:rPr>
              <w:fldChar w:fldCharType="separate"/>
            </w:r>
            <w:r>
              <w:rPr>
                <w:noProof/>
              </w:rPr>
              <w:t>36</w:t>
            </w:r>
            <w:r>
              <w:rPr>
                <w:noProof/>
              </w:rPr>
              <w:fldChar w:fldCharType="end"/>
            </w:r>
          </w:hyperlink>
        </w:p>
        <w:p w14:paraId="4D7511E1" w14:textId="1E93249F"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329" w:history="1">
            <w:r w:rsidRPr="00662DC7">
              <w:rPr>
                <w:rStyle w:val="Hyperlink"/>
                <w:rFonts w:ascii="Times New Roman" w:hAnsi="Times New Roman" w:cs="Times New Roman"/>
                <w:noProof/>
              </w:rPr>
              <w:t>4.4.1 Test of Differences Among Regions (Hypothesis H2)</w:t>
            </w:r>
            <w:r>
              <w:rPr>
                <w:noProof/>
              </w:rPr>
              <w:tab/>
            </w:r>
            <w:r>
              <w:rPr>
                <w:noProof/>
              </w:rPr>
              <w:fldChar w:fldCharType="begin"/>
            </w:r>
            <w:r>
              <w:rPr>
                <w:noProof/>
              </w:rPr>
              <w:instrText xml:space="preserve"> PAGEREF _Toc237884329 \h </w:instrText>
            </w:r>
            <w:r>
              <w:rPr>
                <w:noProof/>
              </w:rPr>
            </w:r>
            <w:r>
              <w:rPr>
                <w:noProof/>
              </w:rPr>
              <w:fldChar w:fldCharType="separate"/>
            </w:r>
            <w:r>
              <w:rPr>
                <w:noProof/>
              </w:rPr>
              <w:t>38</w:t>
            </w:r>
            <w:r>
              <w:rPr>
                <w:noProof/>
              </w:rPr>
              <w:fldChar w:fldCharType="end"/>
            </w:r>
          </w:hyperlink>
        </w:p>
        <w:p w14:paraId="1F3BD642" w14:textId="65C79F11"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330" w:history="1">
            <w:r w:rsidRPr="00662DC7">
              <w:rPr>
                <w:rStyle w:val="Hyperlink"/>
                <w:rFonts w:ascii="Times New Roman" w:hAnsi="Times New Roman" w:cs="Times New Roman"/>
                <w:noProof/>
              </w:rPr>
              <w:t>4.5 Temporal Trends: 2017, 2022 and 2025</w:t>
            </w:r>
            <w:r>
              <w:rPr>
                <w:noProof/>
              </w:rPr>
              <w:tab/>
            </w:r>
            <w:r>
              <w:rPr>
                <w:noProof/>
              </w:rPr>
              <w:fldChar w:fldCharType="begin"/>
            </w:r>
            <w:r>
              <w:rPr>
                <w:noProof/>
              </w:rPr>
              <w:instrText xml:space="preserve"> PAGEREF _Toc237884330 \h </w:instrText>
            </w:r>
            <w:r>
              <w:rPr>
                <w:noProof/>
              </w:rPr>
            </w:r>
            <w:r>
              <w:rPr>
                <w:noProof/>
              </w:rPr>
              <w:fldChar w:fldCharType="separate"/>
            </w:r>
            <w:r>
              <w:rPr>
                <w:noProof/>
              </w:rPr>
              <w:t>39</w:t>
            </w:r>
            <w:r>
              <w:rPr>
                <w:noProof/>
              </w:rPr>
              <w:fldChar w:fldCharType="end"/>
            </w:r>
          </w:hyperlink>
        </w:p>
        <w:p w14:paraId="55975C92" w14:textId="277A6700"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331" w:history="1">
            <w:r w:rsidRPr="00662DC7">
              <w:rPr>
                <w:rStyle w:val="Hyperlink"/>
                <w:rFonts w:ascii="Times New Roman" w:hAnsi="Times New Roman" w:cs="Times New Roman"/>
                <w:noProof/>
              </w:rPr>
              <w:t>4.5.1 Test of Differences Among Years (Hypothesis H3)</w:t>
            </w:r>
            <w:r>
              <w:rPr>
                <w:noProof/>
              </w:rPr>
              <w:tab/>
            </w:r>
            <w:r>
              <w:rPr>
                <w:noProof/>
              </w:rPr>
              <w:fldChar w:fldCharType="begin"/>
            </w:r>
            <w:r>
              <w:rPr>
                <w:noProof/>
              </w:rPr>
              <w:instrText xml:space="preserve"> PAGEREF _Toc237884331 \h </w:instrText>
            </w:r>
            <w:r>
              <w:rPr>
                <w:noProof/>
              </w:rPr>
            </w:r>
            <w:r>
              <w:rPr>
                <w:noProof/>
              </w:rPr>
              <w:fldChar w:fldCharType="separate"/>
            </w:r>
            <w:r>
              <w:rPr>
                <w:noProof/>
              </w:rPr>
              <w:t>43</w:t>
            </w:r>
            <w:r>
              <w:rPr>
                <w:noProof/>
              </w:rPr>
              <w:fldChar w:fldCharType="end"/>
            </w:r>
          </w:hyperlink>
        </w:p>
        <w:p w14:paraId="2AC72887" w14:textId="0C36C929"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332" w:history="1">
            <w:r w:rsidRPr="00662DC7">
              <w:rPr>
                <w:rStyle w:val="Hyperlink"/>
                <w:rFonts w:ascii="Times New Roman" w:hAnsi="Times New Roman" w:cs="Times New Roman"/>
                <w:noProof/>
              </w:rPr>
              <w:t>4.6 Monthly Seasonal Patterns</w:t>
            </w:r>
            <w:r>
              <w:rPr>
                <w:noProof/>
              </w:rPr>
              <w:tab/>
            </w:r>
            <w:r>
              <w:rPr>
                <w:noProof/>
              </w:rPr>
              <w:fldChar w:fldCharType="begin"/>
            </w:r>
            <w:r>
              <w:rPr>
                <w:noProof/>
              </w:rPr>
              <w:instrText xml:space="preserve"> PAGEREF _Toc237884332 \h </w:instrText>
            </w:r>
            <w:r>
              <w:rPr>
                <w:noProof/>
              </w:rPr>
            </w:r>
            <w:r>
              <w:rPr>
                <w:noProof/>
              </w:rPr>
              <w:fldChar w:fldCharType="separate"/>
            </w:r>
            <w:r>
              <w:rPr>
                <w:noProof/>
              </w:rPr>
              <w:t>44</w:t>
            </w:r>
            <w:r>
              <w:rPr>
                <w:noProof/>
              </w:rPr>
              <w:fldChar w:fldCharType="end"/>
            </w:r>
          </w:hyperlink>
        </w:p>
        <w:p w14:paraId="356A9491" w14:textId="3FF5F9F5"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333" w:history="1">
            <w:r w:rsidRPr="00662DC7">
              <w:rPr>
                <w:rStyle w:val="Hyperlink"/>
                <w:rFonts w:ascii="Times New Roman" w:hAnsi="Times New Roman" w:cs="Times New Roman"/>
                <w:noProof/>
              </w:rPr>
              <w:t>4.6.1 Test of Differences Among Months (Hypothesis H4)</w:t>
            </w:r>
            <w:r>
              <w:rPr>
                <w:noProof/>
              </w:rPr>
              <w:tab/>
            </w:r>
            <w:r>
              <w:rPr>
                <w:noProof/>
              </w:rPr>
              <w:fldChar w:fldCharType="begin"/>
            </w:r>
            <w:r>
              <w:rPr>
                <w:noProof/>
              </w:rPr>
              <w:instrText xml:space="preserve"> PAGEREF _Toc237884333 \h </w:instrText>
            </w:r>
            <w:r>
              <w:rPr>
                <w:noProof/>
              </w:rPr>
            </w:r>
            <w:r>
              <w:rPr>
                <w:noProof/>
              </w:rPr>
              <w:fldChar w:fldCharType="separate"/>
            </w:r>
            <w:r>
              <w:rPr>
                <w:noProof/>
              </w:rPr>
              <w:t>47</w:t>
            </w:r>
            <w:r>
              <w:rPr>
                <w:noProof/>
              </w:rPr>
              <w:fldChar w:fldCharType="end"/>
            </w:r>
          </w:hyperlink>
        </w:p>
        <w:p w14:paraId="54D24A21" w14:textId="6DDA9447"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334" w:history="1">
            <w:r w:rsidRPr="00662DC7">
              <w:rPr>
                <w:rStyle w:val="Hyperlink"/>
                <w:rFonts w:ascii="Times New Roman" w:hAnsi="Times New Roman" w:cs="Times New Roman"/>
                <w:noProof/>
              </w:rPr>
              <w:t>4.7 Weed-Cover Classification and Mapping</w:t>
            </w:r>
            <w:r>
              <w:rPr>
                <w:noProof/>
              </w:rPr>
              <w:tab/>
            </w:r>
            <w:r>
              <w:rPr>
                <w:noProof/>
              </w:rPr>
              <w:fldChar w:fldCharType="begin"/>
            </w:r>
            <w:r>
              <w:rPr>
                <w:noProof/>
              </w:rPr>
              <w:instrText xml:space="preserve"> PAGEREF _Toc237884334 \h </w:instrText>
            </w:r>
            <w:r>
              <w:rPr>
                <w:noProof/>
              </w:rPr>
            </w:r>
            <w:r>
              <w:rPr>
                <w:noProof/>
              </w:rPr>
              <w:fldChar w:fldCharType="separate"/>
            </w:r>
            <w:r>
              <w:rPr>
                <w:noProof/>
              </w:rPr>
              <w:t>48</w:t>
            </w:r>
            <w:r>
              <w:rPr>
                <w:noProof/>
              </w:rPr>
              <w:fldChar w:fldCharType="end"/>
            </w:r>
          </w:hyperlink>
        </w:p>
        <w:p w14:paraId="2272AA75" w14:textId="0036BAE3"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335" w:history="1">
            <w:r w:rsidRPr="00662DC7">
              <w:rPr>
                <w:rStyle w:val="Hyperlink"/>
                <w:rFonts w:ascii="Times New Roman" w:hAnsi="Times New Roman" w:cs="Times New Roman"/>
                <w:noProof/>
              </w:rPr>
              <w:t>4.8 NDVI–NDWI Relationship Analysis</w:t>
            </w:r>
            <w:r>
              <w:rPr>
                <w:noProof/>
              </w:rPr>
              <w:tab/>
            </w:r>
            <w:r>
              <w:rPr>
                <w:noProof/>
              </w:rPr>
              <w:fldChar w:fldCharType="begin"/>
            </w:r>
            <w:r>
              <w:rPr>
                <w:noProof/>
              </w:rPr>
              <w:instrText xml:space="preserve"> PAGEREF _Toc237884335 \h </w:instrText>
            </w:r>
            <w:r>
              <w:rPr>
                <w:noProof/>
              </w:rPr>
            </w:r>
            <w:r>
              <w:rPr>
                <w:noProof/>
              </w:rPr>
              <w:fldChar w:fldCharType="separate"/>
            </w:r>
            <w:r>
              <w:rPr>
                <w:noProof/>
              </w:rPr>
              <w:t>51</w:t>
            </w:r>
            <w:r>
              <w:rPr>
                <w:noProof/>
              </w:rPr>
              <w:fldChar w:fldCharType="end"/>
            </w:r>
          </w:hyperlink>
        </w:p>
        <w:p w14:paraId="24021582" w14:textId="44ED9995" w:rsidR="00402E51" w:rsidRDefault="00402E51">
          <w:pPr>
            <w:pStyle w:val="TOC3"/>
            <w:tabs>
              <w:tab w:val="right" w:leader="dot" w:pos="9350"/>
            </w:tabs>
            <w:rPr>
              <w:rFonts w:asciiTheme="minorHAnsi" w:eastAsiaTheme="minorEastAsia" w:hAnsiTheme="minorHAnsi" w:cstheme="minorBidi"/>
              <w:noProof/>
              <w:kern w:val="2"/>
              <w14:ligatures w14:val="standardContextual"/>
            </w:rPr>
          </w:pPr>
          <w:hyperlink w:anchor="_Toc237884336" w:history="1">
            <w:r w:rsidRPr="00662DC7">
              <w:rPr>
                <w:rStyle w:val="Hyperlink"/>
                <w:rFonts w:ascii="Times New Roman" w:hAnsi="Times New Roman" w:cs="Times New Roman"/>
                <w:noProof/>
              </w:rPr>
              <w:t>4.8.1 Statistical Significance of the NDVI–NDWI Correlation (Hypothesis H5)</w:t>
            </w:r>
            <w:r>
              <w:rPr>
                <w:noProof/>
              </w:rPr>
              <w:tab/>
            </w:r>
            <w:r>
              <w:rPr>
                <w:noProof/>
              </w:rPr>
              <w:fldChar w:fldCharType="begin"/>
            </w:r>
            <w:r>
              <w:rPr>
                <w:noProof/>
              </w:rPr>
              <w:instrText xml:space="preserve"> PAGEREF _Toc237884336 \h </w:instrText>
            </w:r>
            <w:r>
              <w:rPr>
                <w:noProof/>
              </w:rPr>
            </w:r>
            <w:r>
              <w:rPr>
                <w:noProof/>
              </w:rPr>
              <w:fldChar w:fldCharType="separate"/>
            </w:r>
            <w:r>
              <w:rPr>
                <w:noProof/>
              </w:rPr>
              <w:t>54</w:t>
            </w:r>
            <w:r>
              <w:rPr>
                <w:noProof/>
              </w:rPr>
              <w:fldChar w:fldCharType="end"/>
            </w:r>
          </w:hyperlink>
        </w:p>
        <w:p w14:paraId="7EFFEF3E" w14:textId="6082663F"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337" w:history="1">
            <w:r w:rsidRPr="00662DC7">
              <w:rPr>
                <w:rStyle w:val="Hyperlink"/>
                <w:rFonts w:ascii="Times New Roman" w:hAnsi="Times New Roman" w:cs="Times New Roman"/>
                <w:noProof/>
              </w:rPr>
              <w:t>4.9 Station-Level Analysis</w:t>
            </w:r>
            <w:r>
              <w:rPr>
                <w:noProof/>
              </w:rPr>
              <w:tab/>
            </w:r>
            <w:r>
              <w:rPr>
                <w:noProof/>
              </w:rPr>
              <w:fldChar w:fldCharType="begin"/>
            </w:r>
            <w:r>
              <w:rPr>
                <w:noProof/>
              </w:rPr>
              <w:instrText xml:space="preserve"> PAGEREF _Toc237884337 \h </w:instrText>
            </w:r>
            <w:r>
              <w:rPr>
                <w:noProof/>
              </w:rPr>
            </w:r>
            <w:r>
              <w:rPr>
                <w:noProof/>
              </w:rPr>
              <w:fldChar w:fldCharType="separate"/>
            </w:r>
            <w:r>
              <w:rPr>
                <w:noProof/>
              </w:rPr>
              <w:t>56</w:t>
            </w:r>
            <w:r>
              <w:rPr>
                <w:noProof/>
              </w:rPr>
              <w:fldChar w:fldCharType="end"/>
            </w:r>
          </w:hyperlink>
        </w:p>
        <w:p w14:paraId="3B8A279E" w14:textId="677D62C6"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338" w:history="1">
            <w:r w:rsidRPr="00662DC7">
              <w:rPr>
                <w:rStyle w:val="Hyperlink"/>
                <w:rFonts w:ascii="Times New Roman" w:hAnsi="Times New Roman" w:cs="Times New Roman"/>
                <w:noProof/>
              </w:rPr>
              <w:t>4.10 NDWI Distribution by Zone Type</w:t>
            </w:r>
            <w:r>
              <w:rPr>
                <w:noProof/>
              </w:rPr>
              <w:tab/>
            </w:r>
            <w:r>
              <w:rPr>
                <w:noProof/>
              </w:rPr>
              <w:fldChar w:fldCharType="begin"/>
            </w:r>
            <w:r>
              <w:rPr>
                <w:noProof/>
              </w:rPr>
              <w:instrText xml:space="preserve"> PAGEREF _Toc237884338 \h </w:instrText>
            </w:r>
            <w:r>
              <w:rPr>
                <w:noProof/>
              </w:rPr>
            </w:r>
            <w:r>
              <w:rPr>
                <w:noProof/>
              </w:rPr>
              <w:fldChar w:fldCharType="separate"/>
            </w:r>
            <w:r>
              <w:rPr>
                <w:noProof/>
              </w:rPr>
              <w:t>58</w:t>
            </w:r>
            <w:r>
              <w:rPr>
                <w:noProof/>
              </w:rPr>
              <w:fldChar w:fldCharType="end"/>
            </w:r>
          </w:hyperlink>
        </w:p>
        <w:p w14:paraId="3E1EA93F" w14:textId="3DB2F15F"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339" w:history="1">
            <w:r w:rsidRPr="00662DC7">
              <w:rPr>
                <w:rStyle w:val="Hyperlink"/>
                <w:rFonts w:ascii="Times New Roman" w:hAnsi="Times New Roman" w:cs="Times New Roman"/>
                <w:noProof/>
              </w:rPr>
              <w:t>4.11 Discussion of Key Findings</w:t>
            </w:r>
            <w:r>
              <w:rPr>
                <w:noProof/>
              </w:rPr>
              <w:tab/>
            </w:r>
            <w:r>
              <w:rPr>
                <w:noProof/>
              </w:rPr>
              <w:fldChar w:fldCharType="begin"/>
            </w:r>
            <w:r>
              <w:rPr>
                <w:noProof/>
              </w:rPr>
              <w:instrText xml:space="preserve"> PAGEREF _Toc237884339 \h </w:instrText>
            </w:r>
            <w:r>
              <w:rPr>
                <w:noProof/>
              </w:rPr>
            </w:r>
            <w:r>
              <w:rPr>
                <w:noProof/>
              </w:rPr>
              <w:fldChar w:fldCharType="separate"/>
            </w:r>
            <w:r>
              <w:rPr>
                <w:noProof/>
              </w:rPr>
              <w:t>60</w:t>
            </w:r>
            <w:r>
              <w:rPr>
                <w:noProof/>
              </w:rPr>
              <w:fldChar w:fldCharType="end"/>
            </w:r>
          </w:hyperlink>
        </w:p>
        <w:p w14:paraId="394FAF5A" w14:textId="55E0C285"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340" w:history="1">
            <w:r w:rsidRPr="00662DC7">
              <w:rPr>
                <w:rStyle w:val="Hyperlink"/>
                <w:rFonts w:ascii="Times New Roman" w:hAnsi="Times New Roman" w:cs="Times New Roman"/>
                <w:noProof/>
              </w:rPr>
              <w:t>4.12 Implications for Water Weed Management</w:t>
            </w:r>
            <w:r>
              <w:rPr>
                <w:noProof/>
              </w:rPr>
              <w:tab/>
            </w:r>
            <w:r>
              <w:rPr>
                <w:noProof/>
              </w:rPr>
              <w:fldChar w:fldCharType="begin"/>
            </w:r>
            <w:r>
              <w:rPr>
                <w:noProof/>
              </w:rPr>
              <w:instrText xml:space="preserve"> PAGEREF _Toc237884340 \h </w:instrText>
            </w:r>
            <w:r>
              <w:rPr>
                <w:noProof/>
              </w:rPr>
            </w:r>
            <w:r>
              <w:rPr>
                <w:noProof/>
              </w:rPr>
              <w:fldChar w:fldCharType="separate"/>
            </w:r>
            <w:r>
              <w:rPr>
                <w:noProof/>
              </w:rPr>
              <w:t>61</w:t>
            </w:r>
            <w:r>
              <w:rPr>
                <w:noProof/>
              </w:rPr>
              <w:fldChar w:fldCharType="end"/>
            </w:r>
          </w:hyperlink>
        </w:p>
        <w:p w14:paraId="4106E4E4" w14:textId="71F5A0D1" w:rsidR="00402E51" w:rsidRDefault="00402E51">
          <w:pPr>
            <w:pStyle w:val="TOC1"/>
            <w:tabs>
              <w:tab w:val="right" w:leader="dot" w:pos="9350"/>
            </w:tabs>
            <w:rPr>
              <w:rFonts w:asciiTheme="minorHAnsi" w:eastAsiaTheme="minorEastAsia" w:hAnsiTheme="minorHAnsi" w:cstheme="minorBidi"/>
              <w:noProof/>
              <w:kern w:val="2"/>
              <w14:ligatures w14:val="standardContextual"/>
            </w:rPr>
          </w:pPr>
          <w:hyperlink w:anchor="_Toc237884341" w:history="1">
            <w:r w:rsidRPr="00662DC7">
              <w:rPr>
                <w:rStyle w:val="Hyperlink"/>
                <w:rFonts w:ascii="Times New Roman" w:hAnsi="Times New Roman" w:cs="Times New Roman"/>
                <w:noProof/>
              </w:rPr>
              <w:t>CHAPTER FIVE: SUMMARY, CONCLUSIONS AND RECOMMENDATIONS</w:t>
            </w:r>
            <w:r>
              <w:rPr>
                <w:noProof/>
              </w:rPr>
              <w:tab/>
            </w:r>
            <w:r>
              <w:rPr>
                <w:noProof/>
              </w:rPr>
              <w:fldChar w:fldCharType="begin"/>
            </w:r>
            <w:r>
              <w:rPr>
                <w:noProof/>
              </w:rPr>
              <w:instrText xml:space="preserve"> PAGEREF _Toc237884341 \h </w:instrText>
            </w:r>
            <w:r>
              <w:rPr>
                <w:noProof/>
              </w:rPr>
            </w:r>
            <w:r>
              <w:rPr>
                <w:noProof/>
              </w:rPr>
              <w:fldChar w:fldCharType="separate"/>
            </w:r>
            <w:r>
              <w:rPr>
                <w:noProof/>
              </w:rPr>
              <w:t>63</w:t>
            </w:r>
            <w:r>
              <w:rPr>
                <w:noProof/>
              </w:rPr>
              <w:fldChar w:fldCharType="end"/>
            </w:r>
          </w:hyperlink>
        </w:p>
        <w:p w14:paraId="4087C676" w14:textId="3D190758"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342" w:history="1">
            <w:r w:rsidRPr="00662DC7">
              <w:rPr>
                <w:rStyle w:val="Hyperlink"/>
                <w:rFonts w:ascii="Times New Roman" w:hAnsi="Times New Roman" w:cs="Times New Roman"/>
                <w:noProof/>
              </w:rPr>
              <w:t>5.1 Summary of the Study</w:t>
            </w:r>
            <w:r>
              <w:rPr>
                <w:noProof/>
              </w:rPr>
              <w:tab/>
            </w:r>
            <w:r>
              <w:rPr>
                <w:noProof/>
              </w:rPr>
              <w:fldChar w:fldCharType="begin"/>
            </w:r>
            <w:r>
              <w:rPr>
                <w:noProof/>
              </w:rPr>
              <w:instrText xml:space="preserve"> PAGEREF _Toc237884342 \h </w:instrText>
            </w:r>
            <w:r>
              <w:rPr>
                <w:noProof/>
              </w:rPr>
            </w:r>
            <w:r>
              <w:rPr>
                <w:noProof/>
              </w:rPr>
              <w:fldChar w:fldCharType="separate"/>
            </w:r>
            <w:r>
              <w:rPr>
                <w:noProof/>
              </w:rPr>
              <w:t>63</w:t>
            </w:r>
            <w:r>
              <w:rPr>
                <w:noProof/>
              </w:rPr>
              <w:fldChar w:fldCharType="end"/>
            </w:r>
          </w:hyperlink>
        </w:p>
        <w:p w14:paraId="33D56938" w14:textId="79927FDB"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343" w:history="1">
            <w:r w:rsidRPr="00662DC7">
              <w:rPr>
                <w:rStyle w:val="Hyperlink"/>
                <w:rFonts w:ascii="Times New Roman" w:hAnsi="Times New Roman" w:cs="Times New Roman"/>
                <w:noProof/>
              </w:rPr>
              <w:t>5.2 Key Conclusions</w:t>
            </w:r>
            <w:r>
              <w:rPr>
                <w:noProof/>
              </w:rPr>
              <w:tab/>
            </w:r>
            <w:r>
              <w:rPr>
                <w:noProof/>
              </w:rPr>
              <w:fldChar w:fldCharType="begin"/>
            </w:r>
            <w:r>
              <w:rPr>
                <w:noProof/>
              </w:rPr>
              <w:instrText xml:space="preserve"> PAGEREF _Toc237884343 \h </w:instrText>
            </w:r>
            <w:r>
              <w:rPr>
                <w:noProof/>
              </w:rPr>
            </w:r>
            <w:r>
              <w:rPr>
                <w:noProof/>
              </w:rPr>
              <w:fldChar w:fldCharType="separate"/>
            </w:r>
            <w:r>
              <w:rPr>
                <w:noProof/>
              </w:rPr>
              <w:t>63</w:t>
            </w:r>
            <w:r>
              <w:rPr>
                <w:noProof/>
              </w:rPr>
              <w:fldChar w:fldCharType="end"/>
            </w:r>
          </w:hyperlink>
        </w:p>
        <w:p w14:paraId="1D3266B5" w14:textId="22F441BB"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344" w:history="1">
            <w:r w:rsidRPr="00662DC7">
              <w:rPr>
                <w:rStyle w:val="Hyperlink"/>
                <w:rFonts w:ascii="Times New Roman" w:hAnsi="Times New Roman" w:cs="Times New Roman"/>
                <w:noProof/>
              </w:rPr>
              <w:t>5.3 Recommendations for Water Weed Management</w:t>
            </w:r>
            <w:r>
              <w:rPr>
                <w:noProof/>
              </w:rPr>
              <w:tab/>
            </w:r>
            <w:r>
              <w:rPr>
                <w:noProof/>
              </w:rPr>
              <w:fldChar w:fldCharType="begin"/>
            </w:r>
            <w:r>
              <w:rPr>
                <w:noProof/>
              </w:rPr>
              <w:instrText xml:space="preserve"> PAGEREF _Toc237884344 \h </w:instrText>
            </w:r>
            <w:r>
              <w:rPr>
                <w:noProof/>
              </w:rPr>
            </w:r>
            <w:r>
              <w:rPr>
                <w:noProof/>
              </w:rPr>
              <w:fldChar w:fldCharType="separate"/>
            </w:r>
            <w:r>
              <w:rPr>
                <w:noProof/>
              </w:rPr>
              <w:t>65</w:t>
            </w:r>
            <w:r>
              <w:rPr>
                <w:noProof/>
              </w:rPr>
              <w:fldChar w:fldCharType="end"/>
            </w:r>
          </w:hyperlink>
        </w:p>
        <w:p w14:paraId="319AEDAB" w14:textId="4986674A"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345" w:history="1">
            <w:r w:rsidRPr="00662DC7">
              <w:rPr>
                <w:rStyle w:val="Hyperlink"/>
                <w:rFonts w:ascii="Times New Roman" w:hAnsi="Times New Roman" w:cs="Times New Roman"/>
                <w:noProof/>
              </w:rPr>
              <w:t>5.4 Recommendations for Future Research</w:t>
            </w:r>
            <w:r>
              <w:rPr>
                <w:noProof/>
              </w:rPr>
              <w:tab/>
            </w:r>
            <w:r>
              <w:rPr>
                <w:noProof/>
              </w:rPr>
              <w:fldChar w:fldCharType="begin"/>
            </w:r>
            <w:r>
              <w:rPr>
                <w:noProof/>
              </w:rPr>
              <w:instrText xml:space="preserve"> PAGEREF _Toc237884345 \h </w:instrText>
            </w:r>
            <w:r>
              <w:rPr>
                <w:noProof/>
              </w:rPr>
            </w:r>
            <w:r>
              <w:rPr>
                <w:noProof/>
              </w:rPr>
              <w:fldChar w:fldCharType="separate"/>
            </w:r>
            <w:r>
              <w:rPr>
                <w:noProof/>
              </w:rPr>
              <w:t>66</w:t>
            </w:r>
            <w:r>
              <w:rPr>
                <w:noProof/>
              </w:rPr>
              <w:fldChar w:fldCharType="end"/>
            </w:r>
          </w:hyperlink>
        </w:p>
        <w:p w14:paraId="1F9C90A4" w14:textId="4F5CEABF"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346" w:history="1">
            <w:r w:rsidRPr="00662DC7">
              <w:rPr>
                <w:rStyle w:val="Hyperlink"/>
                <w:rFonts w:ascii="Times New Roman" w:hAnsi="Times New Roman" w:cs="Times New Roman"/>
                <w:noProof/>
              </w:rPr>
              <w:t>5.5 Policy Implications</w:t>
            </w:r>
            <w:r>
              <w:rPr>
                <w:noProof/>
              </w:rPr>
              <w:tab/>
            </w:r>
            <w:r>
              <w:rPr>
                <w:noProof/>
              </w:rPr>
              <w:fldChar w:fldCharType="begin"/>
            </w:r>
            <w:r>
              <w:rPr>
                <w:noProof/>
              </w:rPr>
              <w:instrText xml:space="preserve"> PAGEREF _Toc237884346 \h </w:instrText>
            </w:r>
            <w:r>
              <w:rPr>
                <w:noProof/>
              </w:rPr>
            </w:r>
            <w:r>
              <w:rPr>
                <w:noProof/>
              </w:rPr>
              <w:fldChar w:fldCharType="separate"/>
            </w:r>
            <w:r>
              <w:rPr>
                <w:noProof/>
              </w:rPr>
              <w:t>67</w:t>
            </w:r>
            <w:r>
              <w:rPr>
                <w:noProof/>
              </w:rPr>
              <w:fldChar w:fldCharType="end"/>
            </w:r>
          </w:hyperlink>
        </w:p>
        <w:p w14:paraId="54659D0C" w14:textId="223C35F0" w:rsidR="00402E51" w:rsidRDefault="00402E51">
          <w:pPr>
            <w:pStyle w:val="TOC2"/>
            <w:tabs>
              <w:tab w:val="right" w:leader="dot" w:pos="9350"/>
            </w:tabs>
            <w:rPr>
              <w:rFonts w:asciiTheme="minorHAnsi" w:eastAsiaTheme="minorEastAsia" w:hAnsiTheme="minorHAnsi" w:cstheme="minorBidi"/>
              <w:noProof/>
              <w:kern w:val="2"/>
              <w14:ligatures w14:val="standardContextual"/>
            </w:rPr>
          </w:pPr>
          <w:hyperlink w:anchor="_Toc237884347" w:history="1">
            <w:r w:rsidRPr="00662DC7">
              <w:rPr>
                <w:rStyle w:val="Hyperlink"/>
                <w:rFonts w:ascii="Times New Roman" w:hAnsi="Times New Roman" w:cs="Times New Roman"/>
                <w:noProof/>
              </w:rPr>
              <w:t>5.6 Concluding Remarks</w:t>
            </w:r>
            <w:r>
              <w:rPr>
                <w:noProof/>
              </w:rPr>
              <w:tab/>
            </w:r>
            <w:r>
              <w:rPr>
                <w:noProof/>
              </w:rPr>
              <w:fldChar w:fldCharType="begin"/>
            </w:r>
            <w:r>
              <w:rPr>
                <w:noProof/>
              </w:rPr>
              <w:instrText xml:space="preserve"> PAGEREF _Toc237884347 \h </w:instrText>
            </w:r>
            <w:r>
              <w:rPr>
                <w:noProof/>
              </w:rPr>
            </w:r>
            <w:r>
              <w:rPr>
                <w:noProof/>
              </w:rPr>
              <w:fldChar w:fldCharType="separate"/>
            </w:r>
            <w:r>
              <w:rPr>
                <w:noProof/>
              </w:rPr>
              <w:t>68</w:t>
            </w:r>
            <w:r>
              <w:rPr>
                <w:noProof/>
              </w:rPr>
              <w:fldChar w:fldCharType="end"/>
            </w:r>
          </w:hyperlink>
        </w:p>
        <w:p w14:paraId="5946BB69" w14:textId="19984F55" w:rsidR="00402E51" w:rsidRDefault="00402E51">
          <w:pPr>
            <w:pStyle w:val="TOC1"/>
            <w:tabs>
              <w:tab w:val="right" w:leader="dot" w:pos="9350"/>
            </w:tabs>
            <w:rPr>
              <w:rFonts w:asciiTheme="minorHAnsi" w:eastAsiaTheme="minorEastAsia" w:hAnsiTheme="minorHAnsi" w:cstheme="minorBidi"/>
              <w:noProof/>
              <w:kern w:val="2"/>
              <w14:ligatures w14:val="standardContextual"/>
            </w:rPr>
          </w:pPr>
          <w:hyperlink w:anchor="_Toc237884348" w:history="1">
            <w:r w:rsidRPr="00662DC7">
              <w:rPr>
                <w:rStyle w:val="Hyperlink"/>
                <w:rFonts w:ascii="Times New Roman" w:hAnsi="Times New Roman" w:cs="Times New Roman"/>
                <w:noProof/>
              </w:rPr>
              <w:t>REFERENCES</w:t>
            </w:r>
            <w:r>
              <w:rPr>
                <w:noProof/>
              </w:rPr>
              <w:tab/>
            </w:r>
            <w:r>
              <w:rPr>
                <w:noProof/>
              </w:rPr>
              <w:fldChar w:fldCharType="begin"/>
            </w:r>
            <w:r>
              <w:rPr>
                <w:noProof/>
              </w:rPr>
              <w:instrText xml:space="preserve"> PAGEREF _Toc237884348 \h </w:instrText>
            </w:r>
            <w:r>
              <w:rPr>
                <w:noProof/>
              </w:rPr>
            </w:r>
            <w:r>
              <w:rPr>
                <w:noProof/>
              </w:rPr>
              <w:fldChar w:fldCharType="separate"/>
            </w:r>
            <w:r>
              <w:rPr>
                <w:noProof/>
              </w:rPr>
              <w:t>69</w:t>
            </w:r>
            <w:r>
              <w:rPr>
                <w:noProof/>
              </w:rPr>
              <w:fldChar w:fldCharType="end"/>
            </w:r>
          </w:hyperlink>
        </w:p>
        <w:p w14:paraId="78C94017"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rPr>
            <w:fldChar w:fldCharType="end"/>
          </w:r>
        </w:p>
      </w:sdtContent>
    </w:sdt>
    <w:p w14:paraId="5BACB58E"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rPr>
        <w:br w:type="page"/>
      </w:r>
    </w:p>
    <w:p w14:paraId="0BBDE487" w14:textId="77777777" w:rsidR="00FF2CA1" w:rsidRPr="00352C77" w:rsidRDefault="007B6AAF" w:rsidP="00A623D5">
      <w:pPr>
        <w:pStyle w:val="Heading1"/>
        <w:spacing w:line="360" w:lineRule="auto"/>
        <w:rPr>
          <w:rFonts w:ascii="Times New Roman" w:hAnsi="Times New Roman" w:cs="Times New Roman"/>
        </w:rPr>
      </w:pPr>
      <w:bookmarkStart w:id="6" w:name="_Toc237884260"/>
      <w:r>
        <w:rPr>
          <w:rFonts w:ascii="Times New Roman" w:hAnsi="Times New Roman" w:cs="Times New Roman"/>
        </w:rPr>
        <w:lastRenderedPageBreak/>
        <w:t>LIST OF TABLES</w:t>
      </w:r>
      <w:bookmarkEnd w:id="6"/>
    </w:p>
    <w:p w14:paraId="4ACF442B" w14:textId="0F9A45EE" w:rsidR="00402E51" w:rsidRDefault="00F65E0C">
      <w:pPr>
        <w:pStyle w:val="TableofFigures"/>
        <w:tabs>
          <w:tab w:val="right" w:leader="dot" w:pos="9350"/>
        </w:tabs>
        <w:rPr>
          <w:rFonts w:asciiTheme="minorHAnsi" w:eastAsiaTheme="minorEastAsia" w:hAnsiTheme="minorHAnsi" w:cstheme="minorBidi"/>
          <w:noProof/>
          <w:kern w:val="2"/>
          <w14:ligatures w14:val="standardContextual"/>
        </w:rPr>
      </w:pPr>
      <w:r>
        <w:rPr>
          <w:rFonts w:ascii="Times New Roman" w:hAnsi="Times New Roman" w:cs="Times New Roman"/>
        </w:rPr>
        <w:fldChar w:fldCharType="begin"/>
      </w:r>
      <w:r>
        <w:rPr>
          <w:rFonts w:ascii="Times New Roman" w:hAnsi="Times New Roman" w:cs="Times New Roman"/>
        </w:rPr>
        <w:instrText xml:space="preserve"> TOC \h \z \c "Table" </w:instrText>
      </w:r>
      <w:r>
        <w:rPr>
          <w:rFonts w:ascii="Times New Roman" w:hAnsi="Times New Roman" w:cs="Times New Roman"/>
        </w:rPr>
        <w:fldChar w:fldCharType="separate"/>
      </w:r>
      <w:hyperlink w:anchor="_Toc237884349" w:history="1">
        <w:r w:rsidR="00402E51" w:rsidRPr="00882C40">
          <w:rPr>
            <w:rStyle w:val="Hyperlink"/>
            <w:rFonts w:ascii="Times New Roman" w:hAnsi="Times New Roman" w:cs="Times New Roman"/>
            <w:noProof/>
          </w:rPr>
          <w:t>Table 1: Permanent Virtual Sampling Matrix</w:t>
        </w:r>
        <w:r w:rsidR="00402E51">
          <w:rPr>
            <w:noProof/>
            <w:webHidden/>
          </w:rPr>
          <w:tab/>
        </w:r>
        <w:r w:rsidR="00402E51">
          <w:rPr>
            <w:noProof/>
            <w:webHidden/>
          </w:rPr>
          <w:fldChar w:fldCharType="begin"/>
        </w:r>
        <w:r w:rsidR="00402E51">
          <w:rPr>
            <w:noProof/>
            <w:webHidden/>
          </w:rPr>
          <w:instrText xml:space="preserve"> PAGEREF _Toc237884349 \h </w:instrText>
        </w:r>
        <w:r w:rsidR="00402E51">
          <w:rPr>
            <w:noProof/>
            <w:webHidden/>
          </w:rPr>
        </w:r>
        <w:r w:rsidR="00402E51">
          <w:rPr>
            <w:noProof/>
            <w:webHidden/>
          </w:rPr>
          <w:fldChar w:fldCharType="separate"/>
        </w:r>
        <w:r w:rsidR="00402E51">
          <w:rPr>
            <w:noProof/>
            <w:webHidden/>
          </w:rPr>
          <w:t>24</w:t>
        </w:r>
        <w:r w:rsidR="00402E51">
          <w:rPr>
            <w:noProof/>
            <w:webHidden/>
          </w:rPr>
          <w:fldChar w:fldCharType="end"/>
        </w:r>
      </w:hyperlink>
    </w:p>
    <w:p w14:paraId="0C77054F" w14:textId="4D115749"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50" w:history="1">
        <w:r w:rsidRPr="00882C40">
          <w:rPr>
            <w:rStyle w:val="Hyperlink"/>
            <w:rFonts w:ascii="Times New Roman" w:hAnsi="Times New Roman" w:cs="Times New Roman"/>
            <w:noProof/>
          </w:rPr>
          <w:t>Table 2: Study Variables and Their Levels of Measurement</w:t>
        </w:r>
        <w:r>
          <w:rPr>
            <w:noProof/>
            <w:webHidden/>
          </w:rPr>
          <w:tab/>
        </w:r>
        <w:r>
          <w:rPr>
            <w:noProof/>
            <w:webHidden/>
          </w:rPr>
          <w:fldChar w:fldCharType="begin"/>
        </w:r>
        <w:r>
          <w:rPr>
            <w:noProof/>
            <w:webHidden/>
          </w:rPr>
          <w:instrText xml:space="preserve"> PAGEREF _Toc237884350 \h </w:instrText>
        </w:r>
        <w:r>
          <w:rPr>
            <w:noProof/>
            <w:webHidden/>
          </w:rPr>
        </w:r>
        <w:r>
          <w:rPr>
            <w:noProof/>
            <w:webHidden/>
          </w:rPr>
          <w:fldChar w:fldCharType="separate"/>
        </w:r>
        <w:r>
          <w:rPr>
            <w:noProof/>
            <w:webHidden/>
          </w:rPr>
          <w:t>26</w:t>
        </w:r>
        <w:r>
          <w:rPr>
            <w:noProof/>
            <w:webHidden/>
          </w:rPr>
          <w:fldChar w:fldCharType="end"/>
        </w:r>
      </w:hyperlink>
    </w:p>
    <w:p w14:paraId="4D135973" w14:textId="343FC456"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51" w:history="1">
        <w:r w:rsidRPr="00882C40">
          <w:rPr>
            <w:rStyle w:val="Hyperlink"/>
            <w:rFonts w:ascii="Times New Roman" w:hAnsi="Times New Roman" w:cs="Times New Roman"/>
            <w:noProof/>
          </w:rPr>
          <w:t>Table 3: Overall Descriptive Statistics for NDVI and NDWI</w:t>
        </w:r>
        <w:r>
          <w:rPr>
            <w:noProof/>
            <w:webHidden/>
          </w:rPr>
          <w:tab/>
        </w:r>
        <w:r>
          <w:rPr>
            <w:noProof/>
            <w:webHidden/>
          </w:rPr>
          <w:fldChar w:fldCharType="begin"/>
        </w:r>
        <w:r>
          <w:rPr>
            <w:noProof/>
            <w:webHidden/>
          </w:rPr>
          <w:instrText xml:space="preserve"> PAGEREF _Toc237884351 \h </w:instrText>
        </w:r>
        <w:r>
          <w:rPr>
            <w:noProof/>
            <w:webHidden/>
          </w:rPr>
        </w:r>
        <w:r>
          <w:rPr>
            <w:noProof/>
            <w:webHidden/>
          </w:rPr>
          <w:fldChar w:fldCharType="separate"/>
        </w:r>
        <w:r>
          <w:rPr>
            <w:noProof/>
            <w:webHidden/>
          </w:rPr>
          <w:t>31</w:t>
        </w:r>
        <w:r>
          <w:rPr>
            <w:noProof/>
            <w:webHidden/>
          </w:rPr>
          <w:fldChar w:fldCharType="end"/>
        </w:r>
      </w:hyperlink>
    </w:p>
    <w:p w14:paraId="7A5B81FE" w14:textId="189BE291"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52" w:history="1">
        <w:r w:rsidRPr="00882C40">
          <w:rPr>
            <w:rStyle w:val="Hyperlink"/>
            <w:rFonts w:ascii="Times New Roman" w:hAnsi="Times New Roman" w:cs="Times New Roman"/>
            <w:noProof/>
          </w:rPr>
          <w:t>Table 4: NDVI and NDWI Statistics by Zone Type</w:t>
        </w:r>
        <w:r>
          <w:rPr>
            <w:noProof/>
            <w:webHidden/>
          </w:rPr>
          <w:tab/>
        </w:r>
        <w:r>
          <w:rPr>
            <w:noProof/>
            <w:webHidden/>
          </w:rPr>
          <w:fldChar w:fldCharType="begin"/>
        </w:r>
        <w:r>
          <w:rPr>
            <w:noProof/>
            <w:webHidden/>
          </w:rPr>
          <w:instrText xml:space="preserve"> PAGEREF _Toc237884352 \h </w:instrText>
        </w:r>
        <w:r>
          <w:rPr>
            <w:noProof/>
            <w:webHidden/>
          </w:rPr>
        </w:r>
        <w:r>
          <w:rPr>
            <w:noProof/>
            <w:webHidden/>
          </w:rPr>
          <w:fldChar w:fldCharType="separate"/>
        </w:r>
        <w:r>
          <w:rPr>
            <w:noProof/>
            <w:webHidden/>
          </w:rPr>
          <w:t>33</w:t>
        </w:r>
        <w:r>
          <w:rPr>
            <w:noProof/>
            <w:webHidden/>
          </w:rPr>
          <w:fldChar w:fldCharType="end"/>
        </w:r>
      </w:hyperlink>
    </w:p>
    <w:p w14:paraId="2396D8B9" w14:textId="19DF0991"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53" w:history="1">
        <w:r w:rsidRPr="00882C40">
          <w:rPr>
            <w:rStyle w:val="Hyperlink"/>
            <w:rFonts w:ascii="Times New Roman" w:hAnsi="Times New Roman" w:cs="Times New Roman"/>
            <w:noProof/>
          </w:rPr>
          <w:t>Table 5: NDVI and NDWI Statistics by Region</w:t>
        </w:r>
        <w:r>
          <w:rPr>
            <w:noProof/>
            <w:webHidden/>
          </w:rPr>
          <w:tab/>
        </w:r>
        <w:r>
          <w:rPr>
            <w:noProof/>
            <w:webHidden/>
          </w:rPr>
          <w:fldChar w:fldCharType="begin"/>
        </w:r>
        <w:r>
          <w:rPr>
            <w:noProof/>
            <w:webHidden/>
          </w:rPr>
          <w:instrText xml:space="preserve"> PAGEREF _Toc237884353 \h </w:instrText>
        </w:r>
        <w:r>
          <w:rPr>
            <w:noProof/>
            <w:webHidden/>
          </w:rPr>
        </w:r>
        <w:r>
          <w:rPr>
            <w:noProof/>
            <w:webHidden/>
          </w:rPr>
          <w:fldChar w:fldCharType="separate"/>
        </w:r>
        <w:r>
          <w:rPr>
            <w:noProof/>
            <w:webHidden/>
          </w:rPr>
          <w:t>36</w:t>
        </w:r>
        <w:r>
          <w:rPr>
            <w:noProof/>
            <w:webHidden/>
          </w:rPr>
          <w:fldChar w:fldCharType="end"/>
        </w:r>
      </w:hyperlink>
    </w:p>
    <w:p w14:paraId="6D04F6F6" w14:textId="44526957"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54" w:history="1">
        <w:r w:rsidRPr="00882C40">
          <w:rPr>
            <w:rStyle w:val="Hyperlink"/>
            <w:rFonts w:ascii="Times New Roman" w:hAnsi="Times New Roman" w:cs="Times New Roman"/>
            <w:noProof/>
          </w:rPr>
          <w:t>Table 6: Percentage Change in Mean NDVI by Zone Type (2017 to 2022)</w:t>
        </w:r>
        <w:r>
          <w:rPr>
            <w:noProof/>
            <w:webHidden/>
          </w:rPr>
          <w:tab/>
        </w:r>
        <w:r>
          <w:rPr>
            <w:noProof/>
            <w:webHidden/>
          </w:rPr>
          <w:fldChar w:fldCharType="begin"/>
        </w:r>
        <w:r>
          <w:rPr>
            <w:noProof/>
            <w:webHidden/>
          </w:rPr>
          <w:instrText xml:space="preserve"> PAGEREF _Toc237884354 \h </w:instrText>
        </w:r>
        <w:r>
          <w:rPr>
            <w:noProof/>
            <w:webHidden/>
          </w:rPr>
        </w:r>
        <w:r>
          <w:rPr>
            <w:noProof/>
            <w:webHidden/>
          </w:rPr>
          <w:fldChar w:fldCharType="separate"/>
        </w:r>
        <w:r>
          <w:rPr>
            <w:noProof/>
            <w:webHidden/>
          </w:rPr>
          <w:t>39</w:t>
        </w:r>
        <w:r>
          <w:rPr>
            <w:noProof/>
            <w:webHidden/>
          </w:rPr>
          <w:fldChar w:fldCharType="end"/>
        </w:r>
      </w:hyperlink>
    </w:p>
    <w:p w14:paraId="72833FB0" w14:textId="1D0C5F20"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55" w:history="1">
        <w:r w:rsidRPr="00882C40">
          <w:rPr>
            <w:rStyle w:val="Hyperlink"/>
            <w:rFonts w:ascii="Times New Roman" w:hAnsi="Times New Roman" w:cs="Times New Roman"/>
            <w:noProof/>
          </w:rPr>
          <w:t>Table 7: Percentage Change in Mean NDVI by Zone Type (2022 to 2025)</w:t>
        </w:r>
        <w:r>
          <w:rPr>
            <w:noProof/>
            <w:webHidden/>
          </w:rPr>
          <w:tab/>
        </w:r>
        <w:r>
          <w:rPr>
            <w:noProof/>
            <w:webHidden/>
          </w:rPr>
          <w:fldChar w:fldCharType="begin"/>
        </w:r>
        <w:r>
          <w:rPr>
            <w:noProof/>
            <w:webHidden/>
          </w:rPr>
          <w:instrText xml:space="preserve"> PAGEREF _Toc237884355 \h </w:instrText>
        </w:r>
        <w:r>
          <w:rPr>
            <w:noProof/>
            <w:webHidden/>
          </w:rPr>
        </w:r>
        <w:r>
          <w:rPr>
            <w:noProof/>
            <w:webHidden/>
          </w:rPr>
          <w:fldChar w:fldCharType="separate"/>
        </w:r>
        <w:r>
          <w:rPr>
            <w:noProof/>
            <w:webHidden/>
          </w:rPr>
          <w:t>40</w:t>
        </w:r>
        <w:r>
          <w:rPr>
            <w:noProof/>
            <w:webHidden/>
          </w:rPr>
          <w:fldChar w:fldCharType="end"/>
        </w:r>
      </w:hyperlink>
    </w:p>
    <w:p w14:paraId="302F3AC0" w14:textId="5CE59CAF"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56" w:history="1">
        <w:r w:rsidRPr="00882C40">
          <w:rPr>
            <w:rStyle w:val="Hyperlink"/>
            <w:rFonts w:ascii="Times New Roman" w:hAnsi="Times New Roman" w:cs="Times New Roman"/>
            <w:noProof/>
          </w:rPr>
          <w:t>Table 8: Mean NDVI and NDWI by Month (All Years)</w:t>
        </w:r>
        <w:r>
          <w:rPr>
            <w:noProof/>
            <w:webHidden/>
          </w:rPr>
          <w:tab/>
        </w:r>
        <w:r>
          <w:rPr>
            <w:noProof/>
            <w:webHidden/>
          </w:rPr>
          <w:fldChar w:fldCharType="begin"/>
        </w:r>
        <w:r>
          <w:rPr>
            <w:noProof/>
            <w:webHidden/>
          </w:rPr>
          <w:instrText xml:space="preserve"> PAGEREF _Toc237884356 \h </w:instrText>
        </w:r>
        <w:r>
          <w:rPr>
            <w:noProof/>
            <w:webHidden/>
          </w:rPr>
        </w:r>
        <w:r>
          <w:rPr>
            <w:noProof/>
            <w:webHidden/>
          </w:rPr>
          <w:fldChar w:fldCharType="separate"/>
        </w:r>
        <w:r>
          <w:rPr>
            <w:noProof/>
            <w:webHidden/>
          </w:rPr>
          <w:t>45</w:t>
        </w:r>
        <w:r>
          <w:rPr>
            <w:noProof/>
            <w:webHidden/>
          </w:rPr>
          <w:fldChar w:fldCharType="end"/>
        </w:r>
      </w:hyperlink>
    </w:p>
    <w:p w14:paraId="1EED9C50" w14:textId="1DAB1626"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57" w:history="1">
        <w:r w:rsidRPr="00882C40">
          <w:rPr>
            <w:rStyle w:val="Hyperlink"/>
            <w:rFonts w:ascii="Times New Roman" w:hAnsi="Times New Roman" w:cs="Times New Roman"/>
            <w:noProof/>
          </w:rPr>
          <w:t>Table 9: Weed-Cover Classification Results</w:t>
        </w:r>
        <w:r>
          <w:rPr>
            <w:noProof/>
            <w:webHidden/>
          </w:rPr>
          <w:tab/>
        </w:r>
        <w:r>
          <w:rPr>
            <w:noProof/>
            <w:webHidden/>
          </w:rPr>
          <w:fldChar w:fldCharType="begin"/>
        </w:r>
        <w:r>
          <w:rPr>
            <w:noProof/>
            <w:webHidden/>
          </w:rPr>
          <w:instrText xml:space="preserve"> PAGEREF _Toc237884357 \h </w:instrText>
        </w:r>
        <w:r>
          <w:rPr>
            <w:noProof/>
            <w:webHidden/>
          </w:rPr>
        </w:r>
        <w:r>
          <w:rPr>
            <w:noProof/>
            <w:webHidden/>
          </w:rPr>
          <w:fldChar w:fldCharType="separate"/>
        </w:r>
        <w:r>
          <w:rPr>
            <w:noProof/>
            <w:webHidden/>
          </w:rPr>
          <w:t>48</w:t>
        </w:r>
        <w:r>
          <w:rPr>
            <w:noProof/>
            <w:webHidden/>
          </w:rPr>
          <w:fldChar w:fldCharType="end"/>
        </w:r>
      </w:hyperlink>
    </w:p>
    <w:p w14:paraId="1C926442" w14:textId="311A0A09"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58" w:history="1">
        <w:r w:rsidRPr="00882C40">
          <w:rPr>
            <w:rStyle w:val="Hyperlink"/>
            <w:rFonts w:ascii="Times New Roman" w:hAnsi="Times New Roman" w:cs="Times New Roman"/>
            <w:noProof/>
          </w:rPr>
          <w:t>Table 10: NDVI–NDWI Pearson Correlation by Zone Type</w:t>
        </w:r>
        <w:r>
          <w:rPr>
            <w:noProof/>
            <w:webHidden/>
          </w:rPr>
          <w:tab/>
        </w:r>
        <w:r>
          <w:rPr>
            <w:noProof/>
            <w:webHidden/>
          </w:rPr>
          <w:fldChar w:fldCharType="begin"/>
        </w:r>
        <w:r>
          <w:rPr>
            <w:noProof/>
            <w:webHidden/>
          </w:rPr>
          <w:instrText xml:space="preserve"> PAGEREF _Toc237884358 \h </w:instrText>
        </w:r>
        <w:r>
          <w:rPr>
            <w:noProof/>
            <w:webHidden/>
          </w:rPr>
        </w:r>
        <w:r>
          <w:rPr>
            <w:noProof/>
            <w:webHidden/>
          </w:rPr>
          <w:fldChar w:fldCharType="separate"/>
        </w:r>
        <w:r>
          <w:rPr>
            <w:noProof/>
            <w:webHidden/>
          </w:rPr>
          <w:t>51</w:t>
        </w:r>
        <w:r>
          <w:rPr>
            <w:noProof/>
            <w:webHidden/>
          </w:rPr>
          <w:fldChar w:fldCharType="end"/>
        </w:r>
      </w:hyperlink>
    </w:p>
    <w:p w14:paraId="371CFE7C" w14:textId="45CDB9CB"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59" w:history="1">
        <w:r w:rsidRPr="00882C40">
          <w:rPr>
            <w:rStyle w:val="Hyperlink"/>
            <w:rFonts w:ascii="Times New Roman" w:hAnsi="Times New Roman" w:cs="Times New Roman"/>
            <w:noProof/>
          </w:rPr>
          <w:t>Table 11: Significance of the NDVI–NDWI Correlation by Zone Type</w:t>
        </w:r>
        <w:r>
          <w:rPr>
            <w:noProof/>
            <w:webHidden/>
          </w:rPr>
          <w:tab/>
        </w:r>
        <w:r>
          <w:rPr>
            <w:noProof/>
            <w:webHidden/>
          </w:rPr>
          <w:fldChar w:fldCharType="begin"/>
        </w:r>
        <w:r>
          <w:rPr>
            <w:noProof/>
            <w:webHidden/>
          </w:rPr>
          <w:instrText xml:space="preserve"> PAGEREF _Toc237884359 \h </w:instrText>
        </w:r>
        <w:r>
          <w:rPr>
            <w:noProof/>
            <w:webHidden/>
          </w:rPr>
        </w:r>
        <w:r>
          <w:rPr>
            <w:noProof/>
            <w:webHidden/>
          </w:rPr>
          <w:fldChar w:fldCharType="separate"/>
        </w:r>
        <w:r>
          <w:rPr>
            <w:noProof/>
            <w:webHidden/>
          </w:rPr>
          <w:t>55</w:t>
        </w:r>
        <w:r>
          <w:rPr>
            <w:noProof/>
            <w:webHidden/>
          </w:rPr>
          <w:fldChar w:fldCharType="end"/>
        </w:r>
      </w:hyperlink>
    </w:p>
    <w:p w14:paraId="6E5BB1F6" w14:textId="1F73844D"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60" w:history="1">
        <w:r w:rsidRPr="00882C40">
          <w:rPr>
            <w:rStyle w:val="Hyperlink"/>
            <w:rFonts w:ascii="Times New Roman" w:hAnsi="Times New Roman" w:cs="Times New Roman"/>
            <w:noProof/>
          </w:rPr>
          <w:t>Table 12: Summary of Hypothesis Tests</w:t>
        </w:r>
        <w:r>
          <w:rPr>
            <w:noProof/>
            <w:webHidden/>
          </w:rPr>
          <w:tab/>
        </w:r>
        <w:r>
          <w:rPr>
            <w:noProof/>
            <w:webHidden/>
          </w:rPr>
          <w:fldChar w:fldCharType="begin"/>
        </w:r>
        <w:r>
          <w:rPr>
            <w:noProof/>
            <w:webHidden/>
          </w:rPr>
          <w:instrText xml:space="preserve"> PAGEREF _Toc237884360 \h </w:instrText>
        </w:r>
        <w:r>
          <w:rPr>
            <w:noProof/>
            <w:webHidden/>
          </w:rPr>
        </w:r>
        <w:r>
          <w:rPr>
            <w:noProof/>
            <w:webHidden/>
          </w:rPr>
          <w:fldChar w:fldCharType="separate"/>
        </w:r>
        <w:r>
          <w:rPr>
            <w:noProof/>
            <w:webHidden/>
          </w:rPr>
          <w:t>56</w:t>
        </w:r>
        <w:r>
          <w:rPr>
            <w:noProof/>
            <w:webHidden/>
          </w:rPr>
          <w:fldChar w:fldCharType="end"/>
        </w:r>
      </w:hyperlink>
    </w:p>
    <w:p w14:paraId="4EC71F2E" w14:textId="05068779"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61" w:history="1">
        <w:r w:rsidRPr="00882C40">
          <w:rPr>
            <w:rStyle w:val="Hyperlink"/>
            <w:rFonts w:ascii="Times New Roman" w:hAnsi="Times New Roman" w:cs="Times New Roman"/>
            <w:noProof/>
          </w:rPr>
          <w:t>Table 13: Station-Level Mean NDVI and NDWI (Ranked by NDVI)</w:t>
        </w:r>
        <w:r>
          <w:rPr>
            <w:noProof/>
            <w:webHidden/>
          </w:rPr>
          <w:tab/>
        </w:r>
        <w:r>
          <w:rPr>
            <w:noProof/>
            <w:webHidden/>
          </w:rPr>
          <w:fldChar w:fldCharType="begin"/>
        </w:r>
        <w:r>
          <w:rPr>
            <w:noProof/>
            <w:webHidden/>
          </w:rPr>
          <w:instrText xml:space="preserve"> PAGEREF _Toc237884361 \h </w:instrText>
        </w:r>
        <w:r>
          <w:rPr>
            <w:noProof/>
            <w:webHidden/>
          </w:rPr>
        </w:r>
        <w:r>
          <w:rPr>
            <w:noProof/>
            <w:webHidden/>
          </w:rPr>
          <w:fldChar w:fldCharType="separate"/>
        </w:r>
        <w:r>
          <w:rPr>
            <w:noProof/>
            <w:webHidden/>
          </w:rPr>
          <w:t>56</w:t>
        </w:r>
        <w:r>
          <w:rPr>
            <w:noProof/>
            <w:webHidden/>
          </w:rPr>
          <w:fldChar w:fldCharType="end"/>
        </w:r>
      </w:hyperlink>
    </w:p>
    <w:p w14:paraId="50033D2E" w14:textId="77777777" w:rsidR="00F65E0C" w:rsidRPr="00352C77" w:rsidRDefault="00F65E0C" w:rsidP="00A623D5">
      <w:pPr>
        <w:pStyle w:val="Heading1"/>
        <w:spacing w:line="360" w:lineRule="auto"/>
        <w:rPr>
          <w:rFonts w:ascii="Times New Roman" w:hAnsi="Times New Roman" w:cs="Times New Roman"/>
        </w:rPr>
      </w:pPr>
      <w:r>
        <w:rPr>
          <w:rFonts w:ascii="Times New Roman" w:hAnsi="Times New Roman" w:cs="Times New Roman"/>
        </w:rPr>
        <w:fldChar w:fldCharType="end"/>
      </w:r>
    </w:p>
    <w:p w14:paraId="274EF770"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rPr>
        <w:br w:type="page"/>
      </w:r>
    </w:p>
    <w:p w14:paraId="1B77427B" w14:textId="77777777" w:rsidR="00DB0109" w:rsidRPr="00352C77" w:rsidRDefault="007B6AAF" w:rsidP="00A623D5">
      <w:pPr>
        <w:pStyle w:val="Heading1"/>
        <w:spacing w:line="360" w:lineRule="auto"/>
        <w:rPr>
          <w:rFonts w:ascii="Times New Roman" w:hAnsi="Times New Roman" w:cs="Times New Roman"/>
        </w:rPr>
      </w:pPr>
      <w:bookmarkStart w:id="7" w:name="_Toc237884261"/>
      <w:r>
        <w:rPr>
          <w:rFonts w:ascii="Times New Roman" w:hAnsi="Times New Roman" w:cs="Times New Roman"/>
        </w:rPr>
        <w:lastRenderedPageBreak/>
        <w:t>LIST OF FIGURES</w:t>
      </w:r>
      <w:bookmarkEnd w:id="7"/>
    </w:p>
    <w:p w14:paraId="66A103AB" w14:textId="0897C514" w:rsidR="00402E51" w:rsidRDefault="00F65E0C">
      <w:pPr>
        <w:pStyle w:val="TableofFigures"/>
        <w:tabs>
          <w:tab w:val="right" w:leader="dot" w:pos="9350"/>
        </w:tabs>
        <w:rPr>
          <w:rFonts w:asciiTheme="minorHAnsi" w:eastAsiaTheme="minorEastAsia" w:hAnsiTheme="minorHAnsi" w:cstheme="minorBidi"/>
          <w:noProof/>
          <w:kern w:val="2"/>
          <w14:ligatures w14:val="standardContextual"/>
        </w:rPr>
      </w:pPr>
      <w:r>
        <w:rPr>
          <w:rFonts w:ascii="Times New Roman" w:hAnsi="Times New Roman" w:cs="Times New Roman"/>
        </w:rPr>
        <w:fldChar w:fldCharType="begin"/>
      </w:r>
      <w:r>
        <w:rPr>
          <w:rFonts w:ascii="Times New Roman" w:hAnsi="Times New Roman" w:cs="Times New Roman"/>
        </w:rPr>
        <w:instrText xml:space="preserve"> TOC \h \z \c "Figure" </w:instrText>
      </w:r>
      <w:r>
        <w:rPr>
          <w:rFonts w:ascii="Times New Roman" w:hAnsi="Times New Roman" w:cs="Times New Roman"/>
        </w:rPr>
        <w:fldChar w:fldCharType="separate"/>
      </w:r>
      <w:hyperlink w:anchor="_Toc237884362" w:history="1">
        <w:r w:rsidR="00402E51" w:rsidRPr="00C151D1">
          <w:rPr>
            <w:rStyle w:val="Hyperlink"/>
            <w:rFonts w:ascii="Times New Roman" w:hAnsi="Times New Roman" w:cs="Times New Roman"/>
            <w:noProof/>
          </w:rPr>
          <w:t>Figure 1: Conceptual framework of the study, linking the environmental drivers of aquatic weed proliferation on Lake Wamala to the NDVI and NDWI indices used to detect and map it</w:t>
        </w:r>
        <w:r w:rsidR="00402E51">
          <w:rPr>
            <w:noProof/>
            <w:webHidden/>
          </w:rPr>
          <w:tab/>
        </w:r>
        <w:r w:rsidR="00402E51">
          <w:rPr>
            <w:noProof/>
            <w:webHidden/>
          </w:rPr>
          <w:fldChar w:fldCharType="begin"/>
        </w:r>
        <w:r w:rsidR="00402E51">
          <w:rPr>
            <w:noProof/>
            <w:webHidden/>
          </w:rPr>
          <w:instrText xml:space="preserve"> PAGEREF _Toc237884362 \h </w:instrText>
        </w:r>
        <w:r w:rsidR="00402E51">
          <w:rPr>
            <w:noProof/>
            <w:webHidden/>
          </w:rPr>
        </w:r>
        <w:r w:rsidR="00402E51">
          <w:rPr>
            <w:noProof/>
            <w:webHidden/>
          </w:rPr>
          <w:fldChar w:fldCharType="separate"/>
        </w:r>
        <w:r w:rsidR="00402E51">
          <w:rPr>
            <w:noProof/>
            <w:webHidden/>
          </w:rPr>
          <w:t>6</w:t>
        </w:r>
        <w:r w:rsidR="00402E51">
          <w:rPr>
            <w:noProof/>
            <w:webHidden/>
          </w:rPr>
          <w:fldChar w:fldCharType="end"/>
        </w:r>
      </w:hyperlink>
    </w:p>
    <w:p w14:paraId="4A16A557" w14:textId="08F25813"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63" w:history="1">
        <w:r w:rsidRPr="00C151D1">
          <w:rPr>
            <w:rStyle w:val="Hyperlink"/>
            <w:rFonts w:ascii="Times New Roman" w:hAnsi="Times New Roman" w:cs="Times New Roman"/>
            <w:noProof/>
          </w:rPr>
          <w:t>Figure 2: Map of Lake Wamala and the neighbouring sub-counties</w:t>
        </w:r>
        <w:r>
          <w:rPr>
            <w:noProof/>
            <w:webHidden/>
          </w:rPr>
          <w:tab/>
        </w:r>
        <w:r>
          <w:rPr>
            <w:noProof/>
            <w:webHidden/>
          </w:rPr>
          <w:fldChar w:fldCharType="begin"/>
        </w:r>
        <w:r>
          <w:rPr>
            <w:noProof/>
            <w:webHidden/>
          </w:rPr>
          <w:instrText xml:space="preserve"> PAGEREF _Toc237884363 \h </w:instrText>
        </w:r>
        <w:r>
          <w:rPr>
            <w:noProof/>
            <w:webHidden/>
          </w:rPr>
        </w:r>
        <w:r>
          <w:rPr>
            <w:noProof/>
            <w:webHidden/>
          </w:rPr>
          <w:fldChar w:fldCharType="separate"/>
        </w:r>
        <w:r>
          <w:rPr>
            <w:noProof/>
            <w:webHidden/>
          </w:rPr>
          <w:t>21</w:t>
        </w:r>
        <w:r>
          <w:rPr>
            <w:noProof/>
            <w:webHidden/>
          </w:rPr>
          <w:fldChar w:fldCharType="end"/>
        </w:r>
      </w:hyperlink>
    </w:p>
    <w:p w14:paraId="61D1DBDC" w14:textId="5552CB3B"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64" w:history="1">
        <w:r w:rsidRPr="00C151D1">
          <w:rPr>
            <w:rStyle w:val="Hyperlink"/>
            <w:rFonts w:ascii="Times New Roman" w:hAnsi="Times New Roman" w:cs="Times New Roman"/>
            <w:noProof/>
          </w:rPr>
          <w:t>Figure 3: Sampling points of Lake Wamala</w:t>
        </w:r>
        <w:r>
          <w:rPr>
            <w:noProof/>
            <w:webHidden/>
          </w:rPr>
          <w:tab/>
        </w:r>
        <w:r>
          <w:rPr>
            <w:noProof/>
            <w:webHidden/>
          </w:rPr>
          <w:fldChar w:fldCharType="begin"/>
        </w:r>
        <w:r>
          <w:rPr>
            <w:noProof/>
            <w:webHidden/>
          </w:rPr>
          <w:instrText xml:space="preserve"> PAGEREF _Toc237884364 \h </w:instrText>
        </w:r>
        <w:r>
          <w:rPr>
            <w:noProof/>
            <w:webHidden/>
          </w:rPr>
        </w:r>
        <w:r>
          <w:rPr>
            <w:noProof/>
            <w:webHidden/>
          </w:rPr>
          <w:fldChar w:fldCharType="separate"/>
        </w:r>
        <w:r>
          <w:rPr>
            <w:noProof/>
            <w:webHidden/>
          </w:rPr>
          <w:t>25</w:t>
        </w:r>
        <w:r>
          <w:rPr>
            <w:noProof/>
            <w:webHidden/>
          </w:rPr>
          <w:fldChar w:fldCharType="end"/>
        </w:r>
      </w:hyperlink>
    </w:p>
    <w:p w14:paraId="4AEC7E48" w14:textId="4012FD17"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65" w:history="1">
        <w:r w:rsidRPr="00C151D1">
          <w:rPr>
            <w:rStyle w:val="Hyperlink"/>
            <w:rFonts w:ascii="Times New Roman" w:hAnsi="Times New Roman" w:cs="Times New Roman"/>
            <w:noProof/>
          </w:rPr>
          <w:t>Figure 4: Mean NDVI and NDWI by zone type (Lake Wamala)</w:t>
        </w:r>
        <w:r>
          <w:rPr>
            <w:noProof/>
            <w:webHidden/>
          </w:rPr>
          <w:tab/>
        </w:r>
        <w:r>
          <w:rPr>
            <w:noProof/>
            <w:webHidden/>
          </w:rPr>
          <w:fldChar w:fldCharType="begin"/>
        </w:r>
        <w:r>
          <w:rPr>
            <w:noProof/>
            <w:webHidden/>
          </w:rPr>
          <w:instrText xml:space="preserve"> PAGEREF _Toc237884365 \h </w:instrText>
        </w:r>
        <w:r>
          <w:rPr>
            <w:noProof/>
            <w:webHidden/>
          </w:rPr>
        </w:r>
        <w:r>
          <w:rPr>
            <w:noProof/>
            <w:webHidden/>
          </w:rPr>
          <w:fldChar w:fldCharType="separate"/>
        </w:r>
        <w:r>
          <w:rPr>
            <w:noProof/>
            <w:webHidden/>
          </w:rPr>
          <w:t>33</w:t>
        </w:r>
        <w:r>
          <w:rPr>
            <w:noProof/>
            <w:webHidden/>
          </w:rPr>
          <w:fldChar w:fldCharType="end"/>
        </w:r>
      </w:hyperlink>
    </w:p>
    <w:p w14:paraId="6DB5778E" w14:textId="7075824B"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66" w:history="1">
        <w:r w:rsidRPr="00C151D1">
          <w:rPr>
            <w:rStyle w:val="Hyperlink"/>
            <w:rFonts w:ascii="Times New Roman" w:hAnsi="Times New Roman" w:cs="Times New Roman"/>
            <w:noProof/>
          </w:rPr>
          <w:t>Figure 5: NDVI distribution by zone type (box plot)</w:t>
        </w:r>
        <w:r>
          <w:rPr>
            <w:noProof/>
            <w:webHidden/>
          </w:rPr>
          <w:tab/>
        </w:r>
        <w:r>
          <w:rPr>
            <w:noProof/>
            <w:webHidden/>
          </w:rPr>
          <w:fldChar w:fldCharType="begin"/>
        </w:r>
        <w:r>
          <w:rPr>
            <w:noProof/>
            <w:webHidden/>
          </w:rPr>
          <w:instrText xml:space="preserve"> PAGEREF _Toc237884366 \h </w:instrText>
        </w:r>
        <w:r>
          <w:rPr>
            <w:noProof/>
            <w:webHidden/>
          </w:rPr>
        </w:r>
        <w:r>
          <w:rPr>
            <w:noProof/>
            <w:webHidden/>
          </w:rPr>
          <w:fldChar w:fldCharType="separate"/>
        </w:r>
        <w:r>
          <w:rPr>
            <w:noProof/>
            <w:webHidden/>
          </w:rPr>
          <w:t>34</w:t>
        </w:r>
        <w:r>
          <w:rPr>
            <w:noProof/>
            <w:webHidden/>
          </w:rPr>
          <w:fldChar w:fldCharType="end"/>
        </w:r>
      </w:hyperlink>
    </w:p>
    <w:p w14:paraId="65B875E6" w14:textId="14490A5B"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67" w:history="1">
        <w:r w:rsidRPr="00C151D1">
          <w:rPr>
            <w:rStyle w:val="Hyperlink"/>
            <w:rFonts w:ascii="Times New Roman" w:hAnsi="Times New Roman" w:cs="Times New Roman"/>
            <w:noProof/>
          </w:rPr>
          <w:t>Figure 6: Mean NDVI trends by region and year (2017–2025)</w:t>
        </w:r>
        <w:r>
          <w:rPr>
            <w:noProof/>
            <w:webHidden/>
          </w:rPr>
          <w:tab/>
        </w:r>
        <w:r>
          <w:rPr>
            <w:noProof/>
            <w:webHidden/>
          </w:rPr>
          <w:fldChar w:fldCharType="begin"/>
        </w:r>
        <w:r>
          <w:rPr>
            <w:noProof/>
            <w:webHidden/>
          </w:rPr>
          <w:instrText xml:space="preserve"> PAGEREF _Toc237884367 \h </w:instrText>
        </w:r>
        <w:r>
          <w:rPr>
            <w:noProof/>
            <w:webHidden/>
          </w:rPr>
        </w:r>
        <w:r>
          <w:rPr>
            <w:noProof/>
            <w:webHidden/>
          </w:rPr>
          <w:fldChar w:fldCharType="separate"/>
        </w:r>
        <w:r>
          <w:rPr>
            <w:noProof/>
            <w:webHidden/>
          </w:rPr>
          <w:t>37</w:t>
        </w:r>
        <w:r>
          <w:rPr>
            <w:noProof/>
            <w:webHidden/>
          </w:rPr>
          <w:fldChar w:fldCharType="end"/>
        </w:r>
      </w:hyperlink>
    </w:p>
    <w:p w14:paraId="708FE75F" w14:textId="2E6D77B5"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68" w:history="1">
        <w:r w:rsidRPr="00C151D1">
          <w:rPr>
            <w:rStyle w:val="Hyperlink"/>
            <w:rFonts w:ascii="Times New Roman" w:hAnsi="Times New Roman" w:cs="Times New Roman"/>
            <w:noProof/>
          </w:rPr>
          <w:t>Figure 7: NDVI and NDWI distribution by region (box plot)</w:t>
        </w:r>
        <w:r>
          <w:rPr>
            <w:noProof/>
            <w:webHidden/>
          </w:rPr>
          <w:tab/>
        </w:r>
        <w:r>
          <w:rPr>
            <w:noProof/>
            <w:webHidden/>
          </w:rPr>
          <w:fldChar w:fldCharType="begin"/>
        </w:r>
        <w:r>
          <w:rPr>
            <w:noProof/>
            <w:webHidden/>
          </w:rPr>
          <w:instrText xml:space="preserve"> PAGEREF _Toc237884368 \h </w:instrText>
        </w:r>
        <w:r>
          <w:rPr>
            <w:noProof/>
            <w:webHidden/>
          </w:rPr>
        </w:r>
        <w:r>
          <w:rPr>
            <w:noProof/>
            <w:webHidden/>
          </w:rPr>
          <w:fldChar w:fldCharType="separate"/>
        </w:r>
        <w:r>
          <w:rPr>
            <w:noProof/>
            <w:webHidden/>
          </w:rPr>
          <w:t>38</w:t>
        </w:r>
        <w:r>
          <w:rPr>
            <w:noProof/>
            <w:webHidden/>
          </w:rPr>
          <w:fldChar w:fldCharType="end"/>
        </w:r>
      </w:hyperlink>
    </w:p>
    <w:p w14:paraId="5BAC1A27" w14:textId="733076A0"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69" w:history="1">
        <w:r w:rsidRPr="00C151D1">
          <w:rPr>
            <w:rStyle w:val="Hyperlink"/>
            <w:rFonts w:ascii="Times New Roman" w:hAnsi="Times New Roman" w:cs="Times New Roman"/>
            <w:noProof/>
          </w:rPr>
          <w:t>Figure 8: Mean NDVI comparison across years by zone type</w:t>
        </w:r>
        <w:r>
          <w:rPr>
            <w:noProof/>
            <w:webHidden/>
          </w:rPr>
          <w:tab/>
        </w:r>
        <w:r>
          <w:rPr>
            <w:noProof/>
            <w:webHidden/>
          </w:rPr>
          <w:fldChar w:fldCharType="begin"/>
        </w:r>
        <w:r>
          <w:rPr>
            <w:noProof/>
            <w:webHidden/>
          </w:rPr>
          <w:instrText xml:space="preserve"> PAGEREF _Toc237884369 \h </w:instrText>
        </w:r>
        <w:r>
          <w:rPr>
            <w:noProof/>
            <w:webHidden/>
          </w:rPr>
        </w:r>
        <w:r>
          <w:rPr>
            <w:noProof/>
            <w:webHidden/>
          </w:rPr>
          <w:fldChar w:fldCharType="separate"/>
        </w:r>
        <w:r>
          <w:rPr>
            <w:noProof/>
            <w:webHidden/>
          </w:rPr>
          <w:t>41</w:t>
        </w:r>
        <w:r>
          <w:rPr>
            <w:noProof/>
            <w:webHidden/>
          </w:rPr>
          <w:fldChar w:fldCharType="end"/>
        </w:r>
      </w:hyperlink>
    </w:p>
    <w:p w14:paraId="747420B5" w14:textId="3328AA5F"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70" w:history="1">
        <w:r w:rsidRPr="00C151D1">
          <w:rPr>
            <w:rStyle w:val="Hyperlink"/>
            <w:rFonts w:ascii="Times New Roman" w:hAnsi="Times New Roman" w:cs="Times New Roman"/>
            <w:noProof/>
          </w:rPr>
          <w:t>Figure 9: Mean NDVI heatmap by station and period</w:t>
        </w:r>
        <w:r>
          <w:rPr>
            <w:noProof/>
            <w:webHidden/>
          </w:rPr>
          <w:tab/>
        </w:r>
        <w:r>
          <w:rPr>
            <w:noProof/>
            <w:webHidden/>
          </w:rPr>
          <w:fldChar w:fldCharType="begin"/>
        </w:r>
        <w:r>
          <w:rPr>
            <w:noProof/>
            <w:webHidden/>
          </w:rPr>
          <w:instrText xml:space="preserve"> PAGEREF _Toc237884370 \h </w:instrText>
        </w:r>
        <w:r>
          <w:rPr>
            <w:noProof/>
            <w:webHidden/>
          </w:rPr>
        </w:r>
        <w:r>
          <w:rPr>
            <w:noProof/>
            <w:webHidden/>
          </w:rPr>
          <w:fldChar w:fldCharType="separate"/>
        </w:r>
        <w:r>
          <w:rPr>
            <w:noProof/>
            <w:webHidden/>
          </w:rPr>
          <w:t>42</w:t>
        </w:r>
        <w:r>
          <w:rPr>
            <w:noProof/>
            <w:webHidden/>
          </w:rPr>
          <w:fldChar w:fldCharType="end"/>
        </w:r>
      </w:hyperlink>
    </w:p>
    <w:p w14:paraId="2617B817" w14:textId="7B69171F"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71" w:history="1">
        <w:r w:rsidRPr="00C151D1">
          <w:rPr>
            <w:rStyle w:val="Hyperlink"/>
            <w:rFonts w:ascii="Times New Roman" w:hAnsi="Times New Roman" w:cs="Times New Roman"/>
            <w:noProof/>
          </w:rPr>
          <w:t>Figure 10: Mean NDVI heatmap by region and year</w:t>
        </w:r>
        <w:r>
          <w:rPr>
            <w:noProof/>
            <w:webHidden/>
          </w:rPr>
          <w:tab/>
        </w:r>
        <w:r>
          <w:rPr>
            <w:noProof/>
            <w:webHidden/>
          </w:rPr>
          <w:fldChar w:fldCharType="begin"/>
        </w:r>
        <w:r>
          <w:rPr>
            <w:noProof/>
            <w:webHidden/>
          </w:rPr>
          <w:instrText xml:space="preserve"> PAGEREF _Toc237884371 \h </w:instrText>
        </w:r>
        <w:r>
          <w:rPr>
            <w:noProof/>
            <w:webHidden/>
          </w:rPr>
        </w:r>
        <w:r>
          <w:rPr>
            <w:noProof/>
            <w:webHidden/>
          </w:rPr>
          <w:fldChar w:fldCharType="separate"/>
        </w:r>
        <w:r>
          <w:rPr>
            <w:noProof/>
            <w:webHidden/>
          </w:rPr>
          <w:t>44</w:t>
        </w:r>
        <w:r>
          <w:rPr>
            <w:noProof/>
            <w:webHidden/>
          </w:rPr>
          <w:fldChar w:fldCharType="end"/>
        </w:r>
      </w:hyperlink>
    </w:p>
    <w:p w14:paraId="76FE1967" w14:textId="308FA8EB"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72" w:history="1">
        <w:r w:rsidRPr="00C151D1">
          <w:rPr>
            <w:rStyle w:val="Hyperlink"/>
            <w:rFonts w:ascii="Times New Roman" w:hAnsi="Times New Roman" w:cs="Times New Roman"/>
            <w:noProof/>
          </w:rPr>
          <w:t>Figure 11: Seasonal NDVI pattern (all years combined)</w:t>
        </w:r>
        <w:r>
          <w:rPr>
            <w:noProof/>
            <w:webHidden/>
          </w:rPr>
          <w:tab/>
        </w:r>
        <w:r>
          <w:rPr>
            <w:noProof/>
            <w:webHidden/>
          </w:rPr>
          <w:fldChar w:fldCharType="begin"/>
        </w:r>
        <w:r>
          <w:rPr>
            <w:noProof/>
            <w:webHidden/>
          </w:rPr>
          <w:instrText xml:space="preserve"> PAGEREF _Toc237884372 \h </w:instrText>
        </w:r>
        <w:r>
          <w:rPr>
            <w:noProof/>
            <w:webHidden/>
          </w:rPr>
        </w:r>
        <w:r>
          <w:rPr>
            <w:noProof/>
            <w:webHidden/>
          </w:rPr>
          <w:fldChar w:fldCharType="separate"/>
        </w:r>
        <w:r>
          <w:rPr>
            <w:noProof/>
            <w:webHidden/>
          </w:rPr>
          <w:t>45</w:t>
        </w:r>
        <w:r>
          <w:rPr>
            <w:noProof/>
            <w:webHidden/>
          </w:rPr>
          <w:fldChar w:fldCharType="end"/>
        </w:r>
      </w:hyperlink>
    </w:p>
    <w:p w14:paraId="0D217676" w14:textId="2185D099"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73" w:history="1">
        <w:r w:rsidRPr="00C151D1">
          <w:rPr>
            <w:rStyle w:val="Hyperlink"/>
            <w:rFonts w:ascii="Times New Roman" w:hAnsi="Times New Roman" w:cs="Times New Roman"/>
            <w:noProof/>
          </w:rPr>
          <w:t>Figure 12: Seasonal NDWI pattern (all years combined)</w:t>
        </w:r>
        <w:r>
          <w:rPr>
            <w:noProof/>
            <w:webHidden/>
          </w:rPr>
          <w:tab/>
        </w:r>
        <w:r>
          <w:rPr>
            <w:noProof/>
            <w:webHidden/>
          </w:rPr>
          <w:fldChar w:fldCharType="begin"/>
        </w:r>
        <w:r>
          <w:rPr>
            <w:noProof/>
            <w:webHidden/>
          </w:rPr>
          <w:instrText xml:space="preserve"> PAGEREF _Toc237884373 \h </w:instrText>
        </w:r>
        <w:r>
          <w:rPr>
            <w:noProof/>
            <w:webHidden/>
          </w:rPr>
        </w:r>
        <w:r>
          <w:rPr>
            <w:noProof/>
            <w:webHidden/>
          </w:rPr>
          <w:fldChar w:fldCharType="separate"/>
        </w:r>
        <w:r>
          <w:rPr>
            <w:noProof/>
            <w:webHidden/>
          </w:rPr>
          <w:t>46</w:t>
        </w:r>
        <w:r>
          <w:rPr>
            <w:noProof/>
            <w:webHidden/>
          </w:rPr>
          <w:fldChar w:fldCharType="end"/>
        </w:r>
      </w:hyperlink>
    </w:p>
    <w:p w14:paraId="57CA5206" w14:textId="11FC0AC8"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74" w:history="1">
        <w:r w:rsidRPr="00C151D1">
          <w:rPr>
            <w:rStyle w:val="Hyperlink"/>
            <w:rFonts w:ascii="Times New Roman" w:hAnsi="Times New Roman" w:cs="Times New Roman"/>
            <w:noProof/>
          </w:rPr>
          <w:t>Figure 13: Monthly NDVI and NDWI trends in 2025</w:t>
        </w:r>
        <w:r>
          <w:rPr>
            <w:noProof/>
            <w:webHidden/>
          </w:rPr>
          <w:tab/>
        </w:r>
        <w:r>
          <w:rPr>
            <w:noProof/>
            <w:webHidden/>
          </w:rPr>
          <w:fldChar w:fldCharType="begin"/>
        </w:r>
        <w:r>
          <w:rPr>
            <w:noProof/>
            <w:webHidden/>
          </w:rPr>
          <w:instrText xml:space="preserve"> PAGEREF _Toc237884374 \h </w:instrText>
        </w:r>
        <w:r>
          <w:rPr>
            <w:noProof/>
            <w:webHidden/>
          </w:rPr>
        </w:r>
        <w:r>
          <w:rPr>
            <w:noProof/>
            <w:webHidden/>
          </w:rPr>
          <w:fldChar w:fldCharType="separate"/>
        </w:r>
        <w:r>
          <w:rPr>
            <w:noProof/>
            <w:webHidden/>
          </w:rPr>
          <w:t>47</w:t>
        </w:r>
        <w:r>
          <w:rPr>
            <w:noProof/>
            <w:webHidden/>
          </w:rPr>
          <w:fldChar w:fldCharType="end"/>
        </w:r>
      </w:hyperlink>
    </w:p>
    <w:p w14:paraId="07B9A320" w14:textId="79574963"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75" w:history="1">
        <w:r w:rsidRPr="00C151D1">
          <w:rPr>
            <w:rStyle w:val="Hyperlink"/>
            <w:rFonts w:ascii="Times New Roman" w:hAnsi="Times New Roman" w:cs="Times New Roman"/>
            <w:noProof/>
          </w:rPr>
          <w:t>Figure 14: Weed-cover classification by year</w:t>
        </w:r>
        <w:r>
          <w:rPr>
            <w:noProof/>
            <w:webHidden/>
          </w:rPr>
          <w:tab/>
        </w:r>
        <w:r>
          <w:rPr>
            <w:noProof/>
            <w:webHidden/>
          </w:rPr>
          <w:fldChar w:fldCharType="begin"/>
        </w:r>
        <w:r>
          <w:rPr>
            <w:noProof/>
            <w:webHidden/>
          </w:rPr>
          <w:instrText xml:space="preserve"> PAGEREF _Toc237884375 \h </w:instrText>
        </w:r>
        <w:r>
          <w:rPr>
            <w:noProof/>
            <w:webHidden/>
          </w:rPr>
        </w:r>
        <w:r>
          <w:rPr>
            <w:noProof/>
            <w:webHidden/>
          </w:rPr>
          <w:fldChar w:fldCharType="separate"/>
        </w:r>
        <w:r>
          <w:rPr>
            <w:noProof/>
            <w:webHidden/>
          </w:rPr>
          <w:t>49</w:t>
        </w:r>
        <w:r>
          <w:rPr>
            <w:noProof/>
            <w:webHidden/>
          </w:rPr>
          <w:fldChar w:fldCharType="end"/>
        </w:r>
      </w:hyperlink>
    </w:p>
    <w:p w14:paraId="77B3A829" w14:textId="447825C0"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76" w:history="1">
        <w:r w:rsidRPr="00C151D1">
          <w:rPr>
            <w:rStyle w:val="Hyperlink"/>
            <w:rFonts w:ascii="Times New Roman" w:hAnsi="Times New Roman" w:cs="Times New Roman"/>
            <w:noProof/>
          </w:rPr>
          <w:t>Figure 15: Weed-cover classification by region</w:t>
        </w:r>
        <w:r>
          <w:rPr>
            <w:noProof/>
            <w:webHidden/>
          </w:rPr>
          <w:tab/>
        </w:r>
        <w:r>
          <w:rPr>
            <w:noProof/>
            <w:webHidden/>
          </w:rPr>
          <w:fldChar w:fldCharType="begin"/>
        </w:r>
        <w:r>
          <w:rPr>
            <w:noProof/>
            <w:webHidden/>
          </w:rPr>
          <w:instrText xml:space="preserve"> PAGEREF _Toc237884376 \h </w:instrText>
        </w:r>
        <w:r>
          <w:rPr>
            <w:noProof/>
            <w:webHidden/>
          </w:rPr>
        </w:r>
        <w:r>
          <w:rPr>
            <w:noProof/>
            <w:webHidden/>
          </w:rPr>
          <w:fldChar w:fldCharType="separate"/>
        </w:r>
        <w:r>
          <w:rPr>
            <w:noProof/>
            <w:webHidden/>
          </w:rPr>
          <w:t>50</w:t>
        </w:r>
        <w:r>
          <w:rPr>
            <w:noProof/>
            <w:webHidden/>
          </w:rPr>
          <w:fldChar w:fldCharType="end"/>
        </w:r>
      </w:hyperlink>
    </w:p>
    <w:p w14:paraId="42472D2C" w14:textId="3506FF1C"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77" w:history="1">
        <w:r w:rsidRPr="00C151D1">
          <w:rPr>
            <w:rStyle w:val="Hyperlink"/>
            <w:rFonts w:ascii="Times New Roman" w:hAnsi="Times New Roman" w:cs="Times New Roman"/>
            <w:noProof/>
          </w:rPr>
          <w:t>Figure 16: NDVI vs NDWI scatter plot by zone type</w:t>
        </w:r>
        <w:r>
          <w:rPr>
            <w:noProof/>
            <w:webHidden/>
          </w:rPr>
          <w:tab/>
        </w:r>
        <w:r>
          <w:rPr>
            <w:noProof/>
            <w:webHidden/>
          </w:rPr>
          <w:fldChar w:fldCharType="begin"/>
        </w:r>
        <w:r>
          <w:rPr>
            <w:noProof/>
            <w:webHidden/>
          </w:rPr>
          <w:instrText xml:space="preserve"> PAGEREF _Toc237884377 \h </w:instrText>
        </w:r>
        <w:r>
          <w:rPr>
            <w:noProof/>
            <w:webHidden/>
          </w:rPr>
        </w:r>
        <w:r>
          <w:rPr>
            <w:noProof/>
            <w:webHidden/>
          </w:rPr>
          <w:fldChar w:fldCharType="separate"/>
        </w:r>
        <w:r>
          <w:rPr>
            <w:noProof/>
            <w:webHidden/>
          </w:rPr>
          <w:t>52</w:t>
        </w:r>
        <w:r>
          <w:rPr>
            <w:noProof/>
            <w:webHidden/>
          </w:rPr>
          <w:fldChar w:fldCharType="end"/>
        </w:r>
      </w:hyperlink>
    </w:p>
    <w:p w14:paraId="3F9CC9A0" w14:textId="043849BE"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78" w:history="1">
        <w:r w:rsidRPr="00C151D1">
          <w:rPr>
            <w:rStyle w:val="Hyperlink"/>
            <w:rFonts w:ascii="Times New Roman" w:hAnsi="Times New Roman" w:cs="Times New Roman"/>
            <w:noProof/>
          </w:rPr>
          <w:t>Figure 17: Correlation matrix of NDVI, NDWI, year and month</w:t>
        </w:r>
        <w:r>
          <w:rPr>
            <w:noProof/>
            <w:webHidden/>
          </w:rPr>
          <w:tab/>
        </w:r>
        <w:r>
          <w:rPr>
            <w:noProof/>
            <w:webHidden/>
          </w:rPr>
          <w:fldChar w:fldCharType="begin"/>
        </w:r>
        <w:r>
          <w:rPr>
            <w:noProof/>
            <w:webHidden/>
          </w:rPr>
          <w:instrText xml:space="preserve"> PAGEREF _Toc237884378 \h </w:instrText>
        </w:r>
        <w:r>
          <w:rPr>
            <w:noProof/>
            <w:webHidden/>
          </w:rPr>
        </w:r>
        <w:r>
          <w:rPr>
            <w:noProof/>
            <w:webHidden/>
          </w:rPr>
          <w:fldChar w:fldCharType="separate"/>
        </w:r>
        <w:r>
          <w:rPr>
            <w:noProof/>
            <w:webHidden/>
          </w:rPr>
          <w:t>53</w:t>
        </w:r>
        <w:r>
          <w:rPr>
            <w:noProof/>
            <w:webHidden/>
          </w:rPr>
          <w:fldChar w:fldCharType="end"/>
        </w:r>
      </w:hyperlink>
    </w:p>
    <w:p w14:paraId="7CEFD464" w14:textId="6A3D7279"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79" w:history="1">
        <w:r w:rsidRPr="00C151D1">
          <w:rPr>
            <w:rStyle w:val="Hyperlink"/>
            <w:rFonts w:ascii="Times New Roman" w:hAnsi="Times New Roman" w:cs="Times New Roman"/>
            <w:noProof/>
          </w:rPr>
          <w:t>Figure 18: NDVI–NDWI correlation by zone type (panel plots)</w:t>
        </w:r>
        <w:r>
          <w:rPr>
            <w:noProof/>
            <w:webHidden/>
          </w:rPr>
          <w:tab/>
        </w:r>
        <w:r>
          <w:rPr>
            <w:noProof/>
            <w:webHidden/>
          </w:rPr>
          <w:fldChar w:fldCharType="begin"/>
        </w:r>
        <w:r>
          <w:rPr>
            <w:noProof/>
            <w:webHidden/>
          </w:rPr>
          <w:instrText xml:space="preserve"> PAGEREF _Toc237884379 \h </w:instrText>
        </w:r>
        <w:r>
          <w:rPr>
            <w:noProof/>
            <w:webHidden/>
          </w:rPr>
        </w:r>
        <w:r>
          <w:rPr>
            <w:noProof/>
            <w:webHidden/>
          </w:rPr>
          <w:fldChar w:fldCharType="separate"/>
        </w:r>
        <w:r>
          <w:rPr>
            <w:noProof/>
            <w:webHidden/>
          </w:rPr>
          <w:t>54</w:t>
        </w:r>
        <w:r>
          <w:rPr>
            <w:noProof/>
            <w:webHidden/>
          </w:rPr>
          <w:fldChar w:fldCharType="end"/>
        </w:r>
      </w:hyperlink>
    </w:p>
    <w:p w14:paraId="17B3F54B" w14:textId="665BBAA8"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80" w:history="1">
        <w:r w:rsidRPr="00C151D1">
          <w:rPr>
            <w:rStyle w:val="Hyperlink"/>
            <w:rFonts w:ascii="Times New Roman" w:hAnsi="Times New Roman" w:cs="Times New Roman"/>
            <w:noProof/>
          </w:rPr>
          <w:t>Figure 19: Mean NDVI by station</w:t>
        </w:r>
        <w:r>
          <w:rPr>
            <w:noProof/>
            <w:webHidden/>
          </w:rPr>
          <w:tab/>
        </w:r>
        <w:r>
          <w:rPr>
            <w:noProof/>
            <w:webHidden/>
          </w:rPr>
          <w:fldChar w:fldCharType="begin"/>
        </w:r>
        <w:r>
          <w:rPr>
            <w:noProof/>
            <w:webHidden/>
          </w:rPr>
          <w:instrText xml:space="preserve"> PAGEREF _Toc237884380 \h </w:instrText>
        </w:r>
        <w:r>
          <w:rPr>
            <w:noProof/>
            <w:webHidden/>
          </w:rPr>
        </w:r>
        <w:r>
          <w:rPr>
            <w:noProof/>
            <w:webHidden/>
          </w:rPr>
          <w:fldChar w:fldCharType="separate"/>
        </w:r>
        <w:r>
          <w:rPr>
            <w:noProof/>
            <w:webHidden/>
          </w:rPr>
          <w:t>57</w:t>
        </w:r>
        <w:r>
          <w:rPr>
            <w:noProof/>
            <w:webHidden/>
          </w:rPr>
          <w:fldChar w:fldCharType="end"/>
        </w:r>
      </w:hyperlink>
    </w:p>
    <w:p w14:paraId="6DD6068D" w14:textId="7AE2E18A"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81" w:history="1">
        <w:r w:rsidRPr="00C151D1">
          <w:rPr>
            <w:rStyle w:val="Hyperlink"/>
            <w:rFonts w:ascii="Times New Roman" w:hAnsi="Times New Roman" w:cs="Times New Roman"/>
            <w:noProof/>
          </w:rPr>
          <w:t>Figure 20: Spatial distribution of NDVI values</w:t>
        </w:r>
        <w:r>
          <w:rPr>
            <w:noProof/>
            <w:webHidden/>
          </w:rPr>
          <w:tab/>
        </w:r>
        <w:r>
          <w:rPr>
            <w:noProof/>
            <w:webHidden/>
          </w:rPr>
          <w:fldChar w:fldCharType="begin"/>
        </w:r>
        <w:r>
          <w:rPr>
            <w:noProof/>
            <w:webHidden/>
          </w:rPr>
          <w:instrText xml:space="preserve"> PAGEREF _Toc237884381 \h </w:instrText>
        </w:r>
        <w:r>
          <w:rPr>
            <w:noProof/>
            <w:webHidden/>
          </w:rPr>
        </w:r>
        <w:r>
          <w:rPr>
            <w:noProof/>
            <w:webHidden/>
          </w:rPr>
          <w:fldChar w:fldCharType="separate"/>
        </w:r>
        <w:r>
          <w:rPr>
            <w:noProof/>
            <w:webHidden/>
          </w:rPr>
          <w:t>58</w:t>
        </w:r>
        <w:r>
          <w:rPr>
            <w:noProof/>
            <w:webHidden/>
          </w:rPr>
          <w:fldChar w:fldCharType="end"/>
        </w:r>
      </w:hyperlink>
    </w:p>
    <w:p w14:paraId="46C633ED" w14:textId="51EDCE0A"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82" w:history="1">
        <w:r w:rsidRPr="00C151D1">
          <w:rPr>
            <w:rStyle w:val="Hyperlink"/>
            <w:rFonts w:ascii="Times New Roman" w:hAnsi="Times New Roman" w:cs="Times New Roman"/>
            <w:noProof/>
          </w:rPr>
          <w:t>Figure 21: NDWI distribution by zone type (box plot)</w:t>
        </w:r>
        <w:r>
          <w:rPr>
            <w:noProof/>
            <w:webHidden/>
          </w:rPr>
          <w:tab/>
        </w:r>
        <w:r>
          <w:rPr>
            <w:noProof/>
            <w:webHidden/>
          </w:rPr>
          <w:fldChar w:fldCharType="begin"/>
        </w:r>
        <w:r>
          <w:rPr>
            <w:noProof/>
            <w:webHidden/>
          </w:rPr>
          <w:instrText xml:space="preserve"> PAGEREF _Toc237884382 \h </w:instrText>
        </w:r>
        <w:r>
          <w:rPr>
            <w:noProof/>
            <w:webHidden/>
          </w:rPr>
        </w:r>
        <w:r>
          <w:rPr>
            <w:noProof/>
            <w:webHidden/>
          </w:rPr>
          <w:fldChar w:fldCharType="separate"/>
        </w:r>
        <w:r>
          <w:rPr>
            <w:noProof/>
            <w:webHidden/>
          </w:rPr>
          <w:t>59</w:t>
        </w:r>
        <w:r>
          <w:rPr>
            <w:noProof/>
            <w:webHidden/>
          </w:rPr>
          <w:fldChar w:fldCharType="end"/>
        </w:r>
      </w:hyperlink>
    </w:p>
    <w:p w14:paraId="3CC2E9BC" w14:textId="28AB375F"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83" w:history="1">
        <w:r w:rsidRPr="00C151D1">
          <w:rPr>
            <w:rStyle w:val="Hyperlink"/>
            <w:rFonts w:ascii="Times New Roman" w:hAnsi="Times New Roman" w:cs="Times New Roman"/>
            <w:noProof/>
          </w:rPr>
          <w:t>Figure 22: Overall NDVI value distribution (histogram)</w:t>
        </w:r>
        <w:r>
          <w:rPr>
            <w:noProof/>
            <w:webHidden/>
          </w:rPr>
          <w:tab/>
        </w:r>
        <w:r>
          <w:rPr>
            <w:noProof/>
            <w:webHidden/>
          </w:rPr>
          <w:fldChar w:fldCharType="begin"/>
        </w:r>
        <w:r>
          <w:rPr>
            <w:noProof/>
            <w:webHidden/>
          </w:rPr>
          <w:instrText xml:space="preserve"> PAGEREF _Toc237884383 \h </w:instrText>
        </w:r>
        <w:r>
          <w:rPr>
            <w:noProof/>
            <w:webHidden/>
          </w:rPr>
        </w:r>
        <w:r>
          <w:rPr>
            <w:noProof/>
            <w:webHidden/>
          </w:rPr>
          <w:fldChar w:fldCharType="separate"/>
        </w:r>
        <w:r>
          <w:rPr>
            <w:noProof/>
            <w:webHidden/>
          </w:rPr>
          <w:t>60</w:t>
        </w:r>
        <w:r>
          <w:rPr>
            <w:noProof/>
            <w:webHidden/>
          </w:rPr>
          <w:fldChar w:fldCharType="end"/>
        </w:r>
      </w:hyperlink>
    </w:p>
    <w:p w14:paraId="1C8D9496" w14:textId="544AA8E4"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84" w:history="1">
        <w:r w:rsidRPr="00C151D1">
          <w:rPr>
            <w:rStyle w:val="Hyperlink"/>
            <w:noProof/>
          </w:rPr>
          <w:t>Figure 23:Lake wamala NDVI  Tiff image from CDSE</w:t>
        </w:r>
        <w:r>
          <w:rPr>
            <w:noProof/>
            <w:webHidden/>
          </w:rPr>
          <w:tab/>
        </w:r>
        <w:r>
          <w:rPr>
            <w:noProof/>
            <w:webHidden/>
          </w:rPr>
          <w:fldChar w:fldCharType="begin"/>
        </w:r>
        <w:r>
          <w:rPr>
            <w:noProof/>
            <w:webHidden/>
          </w:rPr>
          <w:instrText xml:space="preserve"> PAGEREF _Toc237884384 \h </w:instrText>
        </w:r>
        <w:r>
          <w:rPr>
            <w:noProof/>
            <w:webHidden/>
          </w:rPr>
        </w:r>
        <w:r>
          <w:rPr>
            <w:noProof/>
            <w:webHidden/>
          </w:rPr>
          <w:fldChar w:fldCharType="separate"/>
        </w:r>
        <w:r>
          <w:rPr>
            <w:noProof/>
            <w:webHidden/>
          </w:rPr>
          <w:t>73</w:t>
        </w:r>
        <w:r>
          <w:rPr>
            <w:noProof/>
            <w:webHidden/>
          </w:rPr>
          <w:fldChar w:fldCharType="end"/>
        </w:r>
      </w:hyperlink>
    </w:p>
    <w:p w14:paraId="7E89F64F" w14:textId="19539AFD"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85" w:history="1">
        <w:r w:rsidRPr="00C151D1">
          <w:rPr>
            <w:rStyle w:val="Hyperlink"/>
            <w:noProof/>
          </w:rPr>
          <w:t>Figure 24:32bit Magnified NDVI lake wamala basin image from CDSE</w:t>
        </w:r>
        <w:r>
          <w:rPr>
            <w:noProof/>
            <w:webHidden/>
          </w:rPr>
          <w:tab/>
        </w:r>
        <w:r>
          <w:rPr>
            <w:noProof/>
            <w:webHidden/>
          </w:rPr>
          <w:fldChar w:fldCharType="begin"/>
        </w:r>
        <w:r>
          <w:rPr>
            <w:noProof/>
            <w:webHidden/>
          </w:rPr>
          <w:instrText xml:space="preserve"> PAGEREF _Toc237884385 \h </w:instrText>
        </w:r>
        <w:r>
          <w:rPr>
            <w:noProof/>
            <w:webHidden/>
          </w:rPr>
        </w:r>
        <w:r>
          <w:rPr>
            <w:noProof/>
            <w:webHidden/>
          </w:rPr>
          <w:fldChar w:fldCharType="separate"/>
        </w:r>
        <w:r>
          <w:rPr>
            <w:noProof/>
            <w:webHidden/>
          </w:rPr>
          <w:t>73</w:t>
        </w:r>
        <w:r>
          <w:rPr>
            <w:noProof/>
            <w:webHidden/>
          </w:rPr>
          <w:fldChar w:fldCharType="end"/>
        </w:r>
      </w:hyperlink>
    </w:p>
    <w:p w14:paraId="0DBB4145" w14:textId="00D21E43"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86" w:history="1">
        <w:r w:rsidRPr="00C151D1">
          <w:rPr>
            <w:rStyle w:val="Hyperlink"/>
            <w:noProof/>
          </w:rPr>
          <w:t>Figure 25:CDSE False colorvisualised  images for lake wamala</w:t>
        </w:r>
        <w:r>
          <w:rPr>
            <w:noProof/>
            <w:webHidden/>
          </w:rPr>
          <w:tab/>
        </w:r>
        <w:r>
          <w:rPr>
            <w:noProof/>
            <w:webHidden/>
          </w:rPr>
          <w:fldChar w:fldCharType="begin"/>
        </w:r>
        <w:r>
          <w:rPr>
            <w:noProof/>
            <w:webHidden/>
          </w:rPr>
          <w:instrText xml:space="preserve"> PAGEREF _Toc237884386 \h </w:instrText>
        </w:r>
        <w:r>
          <w:rPr>
            <w:noProof/>
            <w:webHidden/>
          </w:rPr>
        </w:r>
        <w:r>
          <w:rPr>
            <w:noProof/>
            <w:webHidden/>
          </w:rPr>
          <w:fldChar w:fldCharType="separate"/>
        </w:r>
        <w:r>
          <w:rPr>
            <w:noProof/>
            <w:webHidden/>
          </w:rPr>
          <w:t>73</w:t>
        </w:r>
        <w:r>
          <w:rPr>
            <w:noProof/>
            <w:webHidden/>
          </w:rPr>
          <w:fldChar w:fldCharType="end"/>
        </w:r>
      </w:hyperlink>
    </w:p>
    <w:p w14:paraId="63C39E40" w14:textId="79969ADB"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87" w:history="1">
        <w:r w:rsidRPr="00C151D1">
          <w:rPr>
            <w:rStyle w:val="Hyperlink"/>
            <w:noProof/>
          </w:rPr>
          <w:t>Figure 26:NE open water NDWI buffer Image</w:t>
        </w:r>
        <w:r>
          <w:rPr>
            <w:noProof/>
            <w:webHidden/>
          </w:rPr>
          <w:tab/>
        </w:r>
        <w:r>
          <w:rPr>
            <w:noProof/>
            <w:webHidden/>
          </w:rPr>
          <w:fldChar w:fldCharType="begin"/>
        </w:r>
        <w:r>
          <w:rPr>
            <w:noProof/>
            <w:webHidden/>
          </w:rPr>
          <w:instrText xml:space="preserve"> PAGEREF _Toc237884387 \h </w:instrText>
        </w:r>
        <w:r>
          <w:rPr>
            <w:noProof/>
            <w:webHidden/>
          </w:rPr>
        </w:r>
        <w:r>
          <w:rPr>
            <w:noProof/>
            <w:webHidden/>
          </w:rPr>
          <w:fldChar w:fldCharType="separate"/>
        </w:r>
        <w:r>
          <w:rPr>
            <w:noProof/>
            <w:webHidden/>
          </w:rPr>
          <w:t>74</w:t>
        </w:r>
        <w:r>
          <w:rPr>
            <w:noProof/>
            <w:webHidden/>
          </w:rPr>
          <w:fldChar w:fldCharType="end"/>
        </w:r>
      </w:hyperlink>
    </w:p>
    <w:p w14:paraId="629AE134" w14:textId="51EA5289"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88" w:history="1">
        <w:r w:rsidRPr="00C151D1">
          <w:rPr>
            <w:rStyle w:val="Hyperlink"/>
            <w:noProof/>
          </w:rPr>
          <w:t>Figure 27:NWnear shore NDVI buffer Image</w:t>
        </w:r>
        <w:r>
          <w:rPr>
            <w:noProof/>
            <w:webHidden/>
          </w:rPr>
          <w:tab/>
        </w:r>
        <w:r>
          <w:rPr>
            <w:noProof/>
            <w:webHidden/>
          </w:rPr>
          <w:fldChar w:fldCharType="begin"/>
        </w:r>
        <w:r>
          <w:rPr>
            <w:noProof/>
            <w:webHidden/>
          </w:rPr>
          <w:instrText xml:space="preserve"> PAGEREF _Toc237884388 \h </w:instrText>
        </w:r>
        <w:r>
          <w:rPr>
            <w:noProof/>
            <w:webHidden/>
          </w:rPr>
        </w:r>
        <w:r>
          <w:rPr>
            <w:noProof/>
            <w:webHidden/>
          </w:rPr>
          <w:fldChar w:fldCharType="separate"/>
        </w:r>
        <w:r>
          <w:rPr>
            <w:noProof/>
            <w:webHidden/>
          </w:rPr>
          <w:t>74</w:t>
        </w:r>
        <w:r>
          <w:rPr>
            <w:noProof/>
            <w:webHidden/>
          </w:rPr>
          <w:fldChar w:fldCharType="end"/>
        </w:r>
      </w:hyperlink>
    </w:p>
    <w:p w14:paraId="6ABE6D91" w14:textId="6BA149A3"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89" w:history="1">
        <w:r w:rsidRPr="00C151D1">
          <w:rPr>
            <w:rStyle w:val="Hyperlink"/>
            <w:noProof/>
          </w:rPr>
          <w:t>Figure 28:CDSE application interface</w:t>
        </w:r>
        <w:r>
          <w:rPr>
            <w:noProof/>
            <w:webHidden/>
          </w:rPr>
          <w:tab/>
        </w:r>
        <w:r>
          <w:rPr>
            <w:noProof/>
            <w:webHidden/>
          </w:rPr>
          <w:fldChar w:fldCharType="begin"/>
        </w:r>
        <w:r>
          <w:rPr>
            <w:noProof/>
            <w:webHidden/>
          </w:rPr>
          <w:instrText xml:space="preserve"> PAGEREF _Toc237884389 \h </w:instrText>
        </w:r>
        <w:r>
          <w:rPr>
            <w:noProof/>
            <w:webHidden/>
          </w:rPr>
        </w:r>
        <w:r>
          <w:rPr>
            <w:noProof/>
            <w:webHidden/>
          </w:rPr>
          <w:fldChar w:fldCharType="separate"/>
        </w:r>
        <w:r>
          <w:rPr>
            <w:noProof/>
            <w:webHidden/>
          </w:rPr>
          <w:t>74</w:t>
        </w:r>
        <w:r>
          <w:rPr>
            <w:noProof/>
            <w:webHidden/>
          </w:rPr>
          <w:fldChar w:fldCharType="end"/>
        </w:r>
      </w:hyperlink>
    </w:p>
    <w:p w14:paraId="267E402D" w14:textId="117923E6"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90" w:history="1">
        <w:r w:rsidRPr="00C151D1">
          <w:rPr>
            <w:rStyle w:val="Hyperlink"/>
            <w:noProof/>
          </w:rPr>
          <w:t>Figure 29:Geojson .oi interface, where different files(kml, shape, etc ) have been freely imported from</w:t>
        </w:r>
        <w:r>
          <w:rPr>
            <w:noProof/>
            <w:webHidden/>
          </w:rPr>
          <w:tab/>
        </w:r>
        <w:r>
          <w:rPr>
            <w:noProof/>
            <w:webHidden/>
          </w:rPr>
          <w:fldChar w:fldCharType="begin"/>
        </w:r>
        <w:r>
          <w:rPr>
            <w:noProof/>
            <w:webHidden/>
          </w:rPr>
          <w:instrText xml:space="preserve"> PAGEREF _Toc237884390 \h </w:instrText>
        </w:r>
        <w:r>
          <w:rPr>
            <w:noProof/>
            <w:webHidden/>
          </w:rPr>
        </w:r>
        <w:r>
          <w:rPr>
            <w:noProof/>
            <w:webHidden/>
          </w:rPr>
          <w:fldChar w:fldCharType="separate"/>
        </w:r>
        <w:r>
          <w:rPr>
            <w:noProof/>
            <w:webHidden/>
          </w:rPr>
          <w:t>75</w:t>
        </w:r>
        <w:r>
          <w:rPr>
            <w:noProof/>
            <w:webHidden/>
          </w:rPr>
          <w:fldChar w:fldCharType="end"/>
        </w:r>
      </w:hyperlink>
    </w:p>
    <w:p w14:paraId="5470B26C" w14:textId="421E20B4" w:rsidR="00402E51" w:rsidRDefault="00402E51">
      <w:pPr>
        <w:pStyle w:val="TableofFigures"/>
        <w:tabs>
          <w:tab w:val="right" w:leader="dot" w:pos="9350"/>
        </w:tabs>
        <w:rPr>
          <w:rFonts w:asciiTheme="minorHAnsi" w:eastAsiaTheme="minorEastAsia" w:hAnsiTheme="minorHAnsi" w:cstheme="minorBidi"/>
          <w:noProof/>
          <w:kern w:val="2"/>
          <w14:ligatures w14:val="standardContextual"/>
        </w:rPr>
      </w:pPr>
      <w:hyperlink w:anchor="_Toc237884391" w:history="1">
        <w:r w:rsidRPr="00C151D1">
          <w:rPr>
            <w:rStyle w:val="Hyperlink"/>
            <w:noProof/>
          </w:rPr>
          <w:t>Figure 30:FWBDP where most facts of lake wamala came from</w:t>
        </w:r>
        <w:r>
          <w:rPr>
            <w:noProof/>
            <w:webHidden/>
          </w:rPr>
          <w:tab/>
        </w:r>
        <w:r>
          <w:rPr>
            <w:noProof/>
            <w:webHidden/>
          </w:rPr>
          <w:fldChar w:fldCharType="begin"/>
        </w:r>
        <w:r>
          <w:rPr>
            <w:noProof/>
            <w:webHidden/>
          </w:rPr>
          <w:instrText xml:space="preserve"> PAGEREF _Toc237884391 \h </w:instrText>
        </w:r>
        <w:r>
          <w:rPr>
            <w:noProof/>
            <w:webHidden/>
          </w:rPr>
        </w:r>
        <w:r>
          <w:rPr>
            <w:noProof/>
            <w:webHidden/>
          </w:rPr>
          <w:fldChar w:fldCharType="separate"/>
        </w:r>
        <w:r>
          <w:rPr>
            <w:noProof/>
            <w:webHidden/>
          </w:rPr>
          <w:t>75</w:t>
        </w:r>
        <w:r>
          <w:rPr>
            <w:noProof/>
            <w:webHidden/>
          </w:rPr>
          <w:fldChar w:fldCharType="end"/>
        </w:r>
      </w:hyperlink>
    </w:p>
    <w:p w14:paraId="748AC86E" w14:textId="77777777" w:rsidR="00F65E0C" w:rsidRPr="00352C77" w:rsidRDefault="00F65E0C" w:rsidP="00A623D5">
      <w:pPr>
        <w:pStyle w:val="Heading1"/>
        <w:spacing w:line="360" w:lineRule="auto"/>
        <w:rPr>
          <w:rFonts w:ascii="Times New Roman" w:hAnsi="Times New Roman" w:cs="Times New Roman"/>
        </w:rPr>
      </w:pPr>
      <w:r>
        <w:rPr>
          <w:rFonts w:ascii="Times New Roman" w:hAnsi="Times New Roman" w:cs="Times New Roman"/>
        </w:rPr>
        <w:fldChar w:fldCharType="end"/>
      </w:r>
    </w:p>
    <w:p w14:paraId="0B382C1C" w14:textId="77777777" w:rsidR="00F65E0C" w:rsidRPr="00352C77" w:rsidRDefault="00F65E0C" w:rsidP="00A623D5">
      <w:pPr>
        <w:pStyle w:val="Heading1"/>
        <w:spacing w:line="360" w:lineRule="auto"/>
        <w:rPr>
          <w:rFonts w:ascii="Times New Roman" w:hAnsi="Times New Roman" w:cs="Times New Roman"/>
        </w:rPr>
      </w:pPr>
    </w:p>
    <w:p w14:paraId="0500E34D"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rPr>
        <w:br w:type="page"/>
      </w:r>
    </w:p>
    <w:p w14:paraId="0E1CAC22" w14:textId="77777777" w:rsidR="00DB0109" w:rsidRPr="00352C77" w:rsidRDefault="007B6AAF" w:rsidP="00A623D5">
      <w:pPr>
        <w:pStyle w:val="Heading1"/>
        <w:spacing w:line="360" w:lineRule="auto"/>
        <w:rPr>
          <w:rFonts w:ascii="Times New Roman" w:hAnsi="Times New Roman" w:cs="Times New Roman"/>
        </w:rPr>
      </w:pPr>
      <w:bookmarkStart w:id="8" w:name="_Toc237884262"/>
      <w:r>
        <w:rPr>
          <w:rFonts w:ascii="Times New Roman" w:hAnsi="Times New Roman" w:cs="Times New Roman"/>
        </w:rPr>
        <w:lastRenderedPageBreak/>
        <w:t>LIST OF ABBREVIATIONS AND ACRONYMS</w:t>
      </w:r>
      <w:bookmarkEnd w:id="8"/>
    </w:p>
    <w:p w14:paraId="7D045FCD" w14:textId="77777777" w:rsidR="00C7614C" w:rsidRPr="00352C77" w:rsidRDefault="00C7614C" w:rsidP="00A623D5">
      <w:pPr>
        <w:spacing w:line="360" w:lineRule="auto"/>
        <w:rPr>
          <w:rFonts w:ascii="Times New Roman" w:hAnsi="Times New Roman" w:cs="Times New Roman"/>
        </w:rPr>
      </w:pPr>
      <w:r>
        <w:rPr>
          <w:rFonts w:ascii="Times New Roman" w:hAnsi="Times New Roman" w:cs="Times New Roman"/>
          <w:b/>
        </w:rPr>
        <w:t>ANOVA</w:t>
      </w:r>
      <w:r>
        <w:rPr>
          <w:rFonts w:ascii="Times New Roman" w:hAnsi="Times New Roman" w:cs="Times New Roman"/>
        </w:rPr>
        <w:t xml:space="preserve"> — Analysis of Variance</w:t>
      </w:r>
    </w:p>
    <w:p w14:paraId="2BDC384E" w14:textId="77777777" w:rsidR="00C7614C" w:rsidRPr="00352C77" w:rsidRDefault="00C7614C" w:rsidP="00A623D5">
      <w:pPr>
        <w:spacing w:line="360" w:lineRule="auto"/>
        <w:rPr>
          <w:rFonts w:ascii="Times New Roman" w:hAnsi="Times New Roman" w:cs="Times New Roman"/>
        </w:rPr>
      </w:pPr>
      <w:r>
        <w:rPr>
          <w:rFonts w:ascii="Times New Roman" w:hAnsi="Times New Roman" w:cs="Times New Roman"/>
          <w:b/>
        </w:rPr>
        <w:t>BOA</w:t>
      </w:r>
      <w:r>
        <w:rPr>
          <w:rFonts w:ascii="Times New Roman" w:hAnsi="Times New Roman" w:cs="Times New Roman"/>
        </w:rPr>
        <w:t xml:space="preserve"> — Bottom-of-Atmosphere</w:t>
      </w:r>
    </w:p>
    <w:p w14:paraId="3A68D37D" w14:textId="77777777" w:rsidR="00C7614C" w:rsidRPr="00352C77" w:rsidRDefault="00C7614C" w:rsidP="00A623D5">
      <w:pPr>
        <w:spacing w:line="360" w:lineRule="auto"/>
        <w:rPr>
          <w:rFonts w:ascii="Times New Roman" w:hAnsi="Times New Roman" w:cs="Times New Roman"/>
        </w:rPr>
      </w:pPr>
      <w:r>
        <w:rPr>
          <w:rFonts w:ascii="Times New Roman" w:hAnsi="Times New Roman" w:cs="Times New Roman"/>
          <w:b/>
        </w:rPr>
        <w:t>CI</w:t>
      </w:r>
      <w:r>
        <w:rPr>
          <w:rFonts w:ascii="Times New Roman" w:hAnsi="Times New Roman" w:cs="Times New Roman"/>
        </w:rPr>
        <w:t xml:space="preserve"> — Confidence Interval</w:t>
      </w:r>
    </w:p>
    <w:p w14:paraId="6286435E" w14:textId="77777777" w:rsidR="00C7614C" w:rsidRPr="00352C77" w:rsidRDefault="00C7614C" w:rsidP="00A623D5">
      <w:pPr>
        <w:spacing w:line="360" w:lineRule="auto"/>
        <w:rPr>
          <w:rFonts w:ascii="Times New Roman" w:hAnsi="Times New Roman" w:cs="Times New Roman"/>
        </w:rPr>
      </w:pPr>
      <w:r>
        <w:rPr>
          <w:rFonts w:ascii="Times New Roman" w:hAnsi="Times New Roman" w:cs="Times New Roman"/>
          <w:b/>
          <w:bCs/>
        </w:rPr>
        <w:t>CDSE — Copernicus Data Space Ecosystem</w:t>
      </w:r>
    </w:p>
    <w:p w14:paraId="53D348A3" w14:textId="77777777" w:rsidR="00C7614C" w:rsidRPr="00352C77" w:rsidRDefault="00C7614C" w:rsidP="00A623D5">
      <w:pPr>
        <w:spacing w:line="360" w:lineRule="auto"/>
        <w:rPr>
          <w:rFonts w:ascii="Times New Roman" w:hAnsi="Times New Roman" w:cs="Times New Roman"/>
        </w:rPr>
      </w:pPr>
      <w:r>
        <w:rPr>
          <w:rFonts w:ascii="Times New Roman" w:hAnsi="Times New Roman" w:cs="Times New Roman"/>
          <w:b/>
        </w:rPr>
        <w:t>ESA</w:t>
      </w:r>
      <w:r>
        <w:rPr>
          <w:rFonts w:ascii="Times New Roman" w:hAnsi="Times New Roman" w:cs="Times New Roman"/>
        </w:rPr>
        <w:t xml:space="preserve"> — European Space Agency</w:t>
      </w:r>
    </w:p>
    <w:p w14:paraId="6B9666BC" w14:textId="77777777" w:rsidR="00C7614C" w:rsidRPr="00352C77" w:rsidRDefault="00C7614C" w:rsidP="00A623D5">
      <w:pPr>
        <w:spacing w:line="360" w:lineRule="auto"/>
        <w:rPr>
          <w:rFonts w:ascii="Times New Roman" w:hAnsi="Times New Roman" w:cs="Times New Roman"/>
        </w:rPr>
      </w:pPr>
      <w:r>
        <w:rPr>
          <w:rFonts w:ascii="Times New Roman" w:hAnsi="Times New Roman" w:cs="Times New Roman"/>
          <w:b/>
        </w:rPr>
        <w:t>GEE</w:t>
      </w:r>
      <w:r>
        <w:rPr>
          <w:rFonts w:ascii="Times New Roman" w:hAnsi="Times New Roman" w:cs="Times New Roman"/>
        </w:rPr>
        <w:t xml:space="preserve"> — Google Earth Engine</w:t>
      </w:r>
    </w:p>
    <w:p w14:paraId="03F02C1E" w14:textId="77777777" w:rsidR="00C7614C" w:rsidRPr="00352C77" w:rsidRDefault="00C7614C" w:rsidP="00A623D5">
      <w:pPr>
        <w:spacing w:line="360" w:lineRule="auto"/>
        <w:rPr>
          <w:rFonts w:ascii="Times New Roman" w:hAnsi="Times New Roman" w:cs="Times New Roman"/>
        </w:rPr>
      </w:pPr>
      <w:r>
        <w:rPr>
          <w:rFonts w:ascii="Times New Roman" w:hAnsi="Times New Roman" w:cs="Times New Roman"/>
          <w:b/>
        </w:rPr>
        <w:t>GIS</w:t>
      </w:r>
      <w:r>
        <w:rPr>
          <w:rFonts w:ascii="Times New Roman" w:hAnsi="Times New Roman" w:cs="Times New Roman"/>
        </w:rPr>
        <w:t xml:space="preserve"> — Geographic Information System</w:t>
      </w:r>
    </w:p>
    <w:p w14:paraId="2FD92B14" w14:textId="77777777" w:rsidR="00C7614C" w:rsidRPr="00352C77" w:rsidRDefault="00C7614C" w:rsidP="00A623D5">
      <w:pPr>
        <w:spacing w:line="360" w:lineRule="auto"/>
        <w:rPr>
          <w:rFonts w:ascii="Times New Roman" w:hAnsi="Times New Roman" w:cs="Times New Roman"/>
        </w:rPr>
      </w:pPr>
      <w:r>
        <w:rPr>
          <w:rFonts w:ascii="Times New Roman" w:hAnsi="Times New Roman" w:cs="Times New Roman"/>
          <w:b/>
        </w:rPr>
        <w:t>GPS</w:t>
      </w:r>
      <w:r>
        <w:rPr>
          <w:rFonts w:ascii="Times New Roman" w:hAnsi="Times New Roman" w:cs="Times New Roman"/>
        </w:rPr>
        <w:t xml:space="preserve"> — Global Positioning System</w:t>
      </w:r>
    </w:p>
    <w:p w14:paraId="3956703D" w14:textId="77777777" w:rsidR="00C7614C" w:rsidRPr="00352C77" w:rsidRDefault="00C7614C" w:rsidP="00A623D5">
      <w:pPr>
        <w:spacing w:line="360" w:lineRule="auto"/>
        <w:rPr>
          <w:rFonts w:ascii="Times New Roman" w:hAnsi="Times New Roman" w:cs="Times New Roman"/>
        </w:rPr>
      </w:pPr>
      <w:r>
        <w:rPr>
          <w:rFonts w:ascii="Times New Roman" w:hAnsi="Times New Roman" w:cs="Times New Roman"/>
          <w:b/>
        </w:rPr>
        <w:t>L2A</w:t>
      </w:r>
      <w:r>
        <w:rPr>
          <w:rFonts w:ascii="Times New Roman" w:hAnsi="Times New Roman" w:cs="Times New Roman"/>
        </w:rPr>
        <w:t xml:space="preserve"> — Level-2A (Sentinel-2 surface-reflectance product)</w:t>
      </w:r>
    </w:p>
    <w:p w14:paraId="441CA30F" w14:textId="77777777" w:rsidR="00C7614C" w:rsidRPr="00352C77" w:rsidRDefault="00C7614C" w:rsidP="00A623D5">
      <w:pPr>
        <w:spacing w:line="360" w:lineRule="auto"/>
        <w:rPr>
          <w:rFonts w:ascii="Times New Roman" w:hAnsi="Times New Roman" w:cs="Times New Roman"/>
        </w:rPr>
      </w:pPr>
      <w:r>
        <w:rPr>
          <w:rFonts w:ascii="Times New Roman" w:hAnsi="Times New Roman" w:cs="Times New Roman"/>
          <w:b/>
        </w:rPr>
        <w:t>LVBC</w:t>
      </w:r>
      <w:r>
        <w:rPr>
          <w:rFonts w:ascii="Times New Roman" w:hAnsi="Times New Roman" w:cs="Times New Roman"/>
        </w:rPr>
        <w:t xml:space="preserve"> — Lake Victoria Basin Commission</w:t>
      </w:r>
    </w:p>
    <w:p w14:paraId="19A85A8E" w14:textId="77777777" w:rsidR="00C7614C" w:rsidRPr="00352C77" w:rsidRDefault="00C7614C" w:rsidP="00A623D5">
      <w:pPr>
        <w:spacing w:line="360" w:lineRule="auto"/>
        <w:rPr>
          <w:rFonts w:ascii="Times New Roman" w:hAnsi="Times New Roman" w:cs="Times New Roman"/>
        </w:rPr>
      </w:pPr>
      <w:r>
        <w:rPr>
          <w:rFonts w:ascii="Times New Roman" w:hAnsi="Times New Roman" w:cs="Times New Roman"/>
          <w:b/>
        </w:rPr>
        <w:t>LVFO</w:t>
      </w:r>
      <w:r>
        <w:rPr>
          <w:rFonts w:ascii="Times New Roman" w:hAnsi="Times New Roman" w:cs="Times New Roman"/>
        </w:rPr>
        <w:t xml:space="preserve"> — Lake Victoria Fisheries Organisation</w:t>
      </w:r>
    </w:p>
    <w:p w14:paraId="6AA6C6D6" w14:textId="77777777" w:rsidR="00C7614C" w:rsidRPr="00352C77" w:rsidRDefault="00C7614C" w:rsidP="00A623D5">
      <w:pPr>
        <w:spacing w:line="360" w:lineRule="auto"/>
        <w:rPr>
          <w:rFonts w:ascii="Times New Roman" w:hAnsi="Times New Roman" w:cs="Times New Roman"/>
        </w:rPr>
      </w:pPr>
      <w:r>
        <w:rPr>
          <w:rFonts w:ascii="Times New Roman" w:hAnsi="Times New Roman" w:cs="Times New Roman"/>
          <w:b/>
        </w:rPr>
        <w:t>NDVI</w:t>
      </w:r>
      <w:r>
        <w:rPr>
          <w:rFonts w:ascii="Times New Roman" w:hAnsi="Times New Roman" w:cs="Times New Roman"/>
        </w:rPr>
        <w:t xml:space="preserve"> — Normalized Difference Vegetation Index</w:t>
      </w:r>
    </w:p>
    <w:p w14:paraId="1B26E400" w14:textId="77777777" w:rsidR="00C7614C" w:rsidRPr="00352C77" w:rsidRDefault="00C7614C" w:rsidP="00A623D5">
      <w:pPr>
        <w:spacing w:line="360" w:lineRule="auto"/>
        <w:rPr>
          <w:rFonts w:ascii="Times New Roman" w:hAnsi="Times New Roman" w:cs="Times New Roman"/>
        </w:rPr>
      </w:pPr>
      <w:r>
        <w:rPr>
          <w:rFonts w:ascii="Times New Roman" w:hAnsi="Times New Roman" w:cs="Times New Roman"/>
          <w:b/>
        </w:rPr>
        <w:t>NDWI</w:t>
      </w:r>
      <w:r>
        <w:rPr>
          <w:rFonts w:ascii="Times New Roman" w:hAnsi="Times New Roman" w:cs="Times New Roman"/>
        </w:rPr>
        <w:t xml:space="preserve"> — Normalized Difference Water Index</w:t>
      </w:r>
    </w:p>
    <w:p w14:paraId="3E0588D3" w14:textId="77777777" w:rsidR="00C7614C" w:rsidRPr="00352C77" w:rsidRDefault="00C7614C" w:rsidP="00A623D5">
      <w:pPr>
        <w:spacing w:line="360" w:lineRule="auto"/>
        <w:rPr>
          <w:rFonts w:ascii="Times New Roman" w:hAnsi="Times New Roman" w:cs="Times New Roman"/>
        </w:rPr>
      </w:pPr>
      <w:r>
        <w:rPr>
          <w:rFonts w:ascii="Times New Roman" w:hAnsi="Times New Roman" w:cs="Times New Roman"/>
          <w:b/>
        </w:rPr>
        <w:t>NEMA</w:t>
      </w:r>
      <w:r>
        <w:rPr>
          <w:rFonts w:ascii="Times New Roman" w:hAnsi="Times New Roman" w:cs="Times New Roman"/>
        </w:rPr>
        <w:t xml:space="preserve"> — National Environment Management Authority</w:t>
      </w:r>
    </w:p>
    <w:p w14:paraId="755EE2A9" w14:textId="77777777" w:rsidR="00C7614C" w:rsidRPr="00352C77" w:rsidRDefault="00C7614C" w:rsidP="00A623D5">
      <w:pPr>
        <w:spacing w:line="360" w:lineRule="auto"/>
        <w:rPr>
          <w:rFonts w:ascii="Times New Roman" w:hAnsi="Times New Roman" w:cs="Times New Roman"/>
        </w:rPr>
      </w:pPr>
      <w:r>
        <w:rPr>
          <w:rFonts w:ascii="Times New Roman" w:hAnsi="Times New Roman" w:cs="Times New Roman"/>
          <w:b/>
        </w:rPr>
        <w:t>NIR</w:t>
      </w:r>
      <w:r>
        <w:rPr>
          <w:rFonts w:ascii="Times New Roman" w:hAnsi="Times New Roman" w:cs="Times New Roman"/>
        </w:rPr>
        <w:t xml:space="preserve"> — Near-Infrared</w:t>
      </w:r>
    </w:p>
    <w:p w14:paraId="542A6FB2" w14:textId="77777777" w:rsidR="00C7614C" w:rsidRPr="00352C77" w:rsidRDefault="00C7614C" w:rsidP="00A623D5">
      <w:pPr>
        <w:spacing w:line="360" w:lineRule="auto"/>
        <w:rPr>
          <w:rFonts w:ascii="Times New Roman" w:hAnsi="Times New Roman" w:cs="Times New Roman"/>
        </w:rPr>
      </w:pPr>
      <w:r>
        <w:rPr>
          <w:rFonts w:ascii="Times New Roman" w:hAnsi="Times New Roman" w:cs="Times New Roman"/>
          <w:b/>
        </w:rPr>
        <w:t>QA60</w:t>
      </w:r>
      <w:r>
        <w:rPr>
          <w:rFonts w:ascii="Times New Roman" w:hAnsi="Times New Roman" w:cs="Times New Roman"/>
        </w:rPr>
        <w:t xml:space="preserve"> — Quality Assessment band 60 (Sentinel-2 cloud-mask band)</w:t>
      </w:r>
    </w:p>
    <w:p w14:paraId="7B0BD4B4" w14:textId="77777777" w:rsidR="00C7614C" w:rsidRPr="00352C77" w:rsidRDefault="00C7614C" w:rsidP="00A623D5">
      <w:pPr>
        <w:spacing w:line="360" w:lineRule="auto"/>
        <w:rPr>
          <w:rFonts w:ascii="Times New Roman" w:hAnsi="Times New Roman" w:cs="Times New Roman"/>
        </w:rPr>
      </w:pPr>
      <w:r>
        <w:rPr>
          <w:rFonts w:ascii="Times New Roman" w:hAnsi="Times New Roman" w:cs="Times New Roman"/>
          <w:b/>
        </w:rPr>
        <w:t>SD</w:t>
      </w:r>
      <w:r>
        <w:rPr>
          <w:rFonts w:ascii="Times New Roman" w:hAnsi="Times New Roman" w:cs="Times New Roman"/>
        </w:rPr>
        <w:t xml:space="preserve"> — Standard Deviation</w:t>
      </w:r>
    </w:p>
    <w:p w14:paraId="0FEC03D1" w14:textId="77777777" w:rsidR="00C7614C" w:rsidRPr="00352C77" w:rsidRDefault="00C7614C" w:rsidP="00A623D5">
      <w:pPr>
        <w:spacing w:line="360" w:lineRule="auto"/>
        <w:rPr>
          <w:rFonts w:ascii="Times New Roman" w:hAnsi="Times New Roman" w:cs="Times New Roman"/>
        </w:rPr>
      </w:pPr>
      <w:r>
        <w:rPr>
          <w:rFonts w:ascii="Times New Roman" w:hAnsi="Times New Roman" w:cs="Times New Roman"/>
          <w:b/>
        </w:rPr>
        <w:t>SWIR</w:t>
      </w:r>
      <w:r>
        <w:rPr>
          <w:rFonts w:ascii="Times New Roman" w:hAnsi="Times New Roman" w:cs="Times New Roman"/>
        </w:rPr>
        <w:t xml:space="preserve"> — Short-Wave Infrared</w:t>
      </w:r>
    </w:p>
    <w:p w14:paraId="6C5B174E" w14:textId="77777777" w:rsidR="00DB0109" w:rsidRPr="00352C77" w:rsidRDefault="00DB0109" w:rsidP="00A623D5">
      <w:pPr>
        <w:spacing w:line="360" w:lineRule="auto"/>
        <w:rPr>
          <w:rFonts w:ascii="Times New Roman" w:hAnsi="Times New Roman" w:cs="Times New Roman"/>
        </w:rPr>
        <w:sectPr w:rsidR="00DB0109" w:rsidRPr="00352C77">
          <w:footerReference w:type="default" r:id="rId10"/>
          <w:pgSz w:w="12240" w:h="15840"/>
          <w:pgMar w:top="1440" w:right="1440" w:bottom="1440" w:left="1440" w:header="708" w:footer="708" w:gutter="0"/>
          <w:pgNumType w:fmt="lowerRoman" w:start="1"/>
          <w:cols w:space="720"/>
          <w:docGrid w:linePitch="360"/>
        </w:sectPr>
      </w:pPr>
    </w:p>
    <w:p w14:paraId="7D99F5E1" w14:textId="77777777" w:rsidR="00DB0109" w:rsidRPr="00352C77" w:rsidRDefault="007B6AAF" w:rsidP="00A623D5">
      <w:pPr>
        <w:pStyle w:val="Heading1"/>
        <w:pageBreakBefore/>
        <w:spacing w:line="360" w:lineRule="auto"/>
        <w:rPr>
          <w:rFonts w:ascii="Times New Roman" w:hAnsi="Times New Roman" w:cs="Times New Roman"/>
        </w:rPr>
      </w:pPr>
      <w:bookmarkStart w:id="9" w:name="_Toc237884263"/>
      <w:r>
        <w:rPr>
          <w:rFonts w:ascii="Times New Roman" w:hAnsi="Times New Roman" w:cs="Times New Roman"/>
        </w:rPr>
        <w:lastRenderedPageBreak/>
        <w:t>CHAPTER ONE: INTRODUCTION</w:t>
      </w:r>
      <w:bookmarkEnd w:id="9"/>
    </w:p>
    <w:p w14:paraId="167AC455" w14:textId="77777777" w:rsidR="00DB0109" w:rsidRPr="00352C77" w:rsidRDefault="007B6AAF" w:rsidP="00A623D5">
      <w:pPr>
        <w:pStyle w:val="Heading2"/>
        <w:spacing w:line="360" w:lineRule="auto"/>
        <w:rPr>
          <w:rFonts w:ascii="Times New Roman" w:hAnsi="Times New Roman" w:cs="Times New Roman"/>
        </w:rPr>
      </w:pPr>
      <w:bookmarkStart w:id="10" w:name="_Toc237884264"/>
      <w:r>
        <w:rPr>
          <w:rFonts w:ascii="Times New Roman" w:hAnsi="Times New Roman" w:cs="Times New Roman"/>
        </w:rPr>
        <w:t>1.1 Background to the Study</w:t>
      </w:r>
      <w:bookmarkEnd w:id="10"/>
    </w:p>
    <w:p w14:paraId="7ECAB3A3"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Freshwater lakes are among the most productive and economically important ecosystems in sub-Saharan Africa, providing fisheries, water for domestic and agricultural use, transport routes and recreational value. In recent decades, however, many tropical lakes have experienced rapid proliferation of aquatic macrophytes, commonly referred to as aquatic weeds. Invasive and nuisance species such as water hyacinth (</w:t>
      </w:r>
      <w:r>
        <w:rPr>
          <w:rFonts w:ascii="Times New Roman" w:hAnsi="Times New Roman" w:cs="Times New Roman"/>
          <w:i/>
        </w:rPr>
        <w:t>Eichhornia crassipes</w:t>
      </w:r>
      <w:r>
        <w:rPr>
          <w:rFonts w:ascii="Times New Roman" w:hAnsi="Times New Roman" w:cs="Times New Roman"/>
        </w:rPr>
        <w:t>), water lettuce (</w:t>
      </w:r>
      <w:proofErr w:type="spellStart"/>
      <w:r>
        <w:rPr>
          <w:rFonts w:ascii="Times New Roman" w:hAnsi="Times New Roman" w:cs="Times New Roman"/>
          <w:i/>
        </w:rPr>
        <w:t>Pistia</w:t>
      </w:r>
      <w:proofErr w:type="spellEnd"/>
      <w:r>
        <w:rPr>
          <w:rFonts w:ascii="Times New Roman" w:hAnsi="Times New Roman" w:cs="Times New Roman"/>
          <w:i/>
        </w:rPr>
        <w:t xml:space="preserve"> stratiotes</w:t>
      </w:r>
      <w:r>
        <w:rPr>
          <w:rFonts w:ascii="Times New Roman" w:hAnsi="Times New Roman" w:cs="Times New Roman"/>
        </w:rPr>
        <w:t xml:space="preserve">), </w:t>
      </w:r>
      <w:r>
        <w:rPr>
          <w:rFonts w:ascii="Times New Roman" w:hAnsi="Times New Roman" w:cs="Times New Roman"/>
          <w:i/>
        </w:rPr>
        <w:t>Salvinia molesta</w:t>
      </w:r>
      <w:r>
        <w:rPr>
          <w:rFonts w:ascii="Times New Roman" w:hAnsi="Times New Roman" w:cs="Times New Roman"/>
        </w:rPr>
        <w:t xml:space="preserve"> and dense beds of papyrus and other emergent vegetation can choke navigation channels, deplete dissolved oxygen, reduce fish catches, impede water abstraction and create breeding habitats for disease vectors (Havel et al., 2015; </w:t>
      </w:r>
      <w:proofErr w:type="spellStart"/>
      <w:r>
        <w:rPr>
          <w:rFonts w:ascii="Times New Roman" w:hAnsi="Times New Roman" w:cs="Times New Roman"/>
        </w:rPr>
        <w:t>Alemneh</w:t>
      </w:r>
      <w:proofErr w:type="spellEnd"/>
      <w:r>
        <w:rPr>
          <w:rFonts w:ascii="Times New Roman" w:hAnsi="Times New Roman" w:cs="Times New Roman"/>
        </w:rPr>
        <w:t xml:space="preserve"> et al., 2025; </w:t>
      </w:r>
      <w:proofErr w:type="spellStart"/>
      <w:r>
        <w:rPr>
          <w:rFonts w:ascii="Times New Roman" w:hAnsi="Times New Roman" w:cs="Times New Roman"/>
        </w:rPr>
        <w:t>Nyawacha</w:t>
      </w:r>
      <w:proofErr w:type="spellEnd"/>
      <w:r>
        <w:rPr>
          <w:rFonts w:ascii="Times New Roman" w:hAnsi="Times New Roman" w:cs="Times New Roman"/>
        </w:rPr>
        <w:t xml:space="preserve"> et al., 2021).</w:t>
      </w:r>
      <w:r>
        <w:rPr>
          <w:rFonts w:ascii="Times New Roman" w:hAnsi="Times New Roman" w:cs="Times New Roman"/>
        </w:rPr>
        <w:fldChar w:fldCharType="begin" w:fldLock="1"/>
      </w:r>
      <w:r>
        <w:rPr>
          <w:rFonts w:ascii="Times New Roman" w:hAnsi="Times New Roman" w:cs="Times New Roman"/>
        </w:rPr>
        <w:instrText>ADDIN CSL_CITATION {"citationItems":[{"id":"ITEM-1","itemData":{"DOI":"10.3390/w17172573","ISSN":"20734441","abstract":"Water hyacinth (Eichhornia crassipes), native to South America, is a highly invasive aquatic plant threatening freshwater ecosystems worldwide. Its rapid proliferation negatively impacts water quality, biodiversity, and navigation. Remote sensing offers an effective means to monitor such aquatic environments by providing extensive spatial and temporal coverage with improved resolution. This systematic review examines remote sensing applications for monitoring water hyacinth and water quality in studies published from 2014 to 2024. Seventy-eight peer-reviewed articles were selected from the Web of Science, Scopus, and Google Scholar following strict criteria. The research spans 25 countries across five continents, focusing mainly on lakes (61.5%), rivers (21%), and wetlands (10.3%). Approximately 49% of studies addressed water quality, 42% focused on water hyacinth, and 9% covered both. The Sentinel-2 Multispectral Instrument (MSI) was the most used sensor (35%), followed by the Landsat 8 Operational Land Imager (OLI) (26%). Multi-sensor fusion, especially Sentinel-2 MSI with Unmanned Aerial Vehicles (UAVs), was frequently applied to enhance monitoring capabilities. Detection accuracies ranged from 74% to 98% using statistical, machine learning, and deep learning techniques. Key challenges include limited ground-truth data and inadequate atmospheric correction. The integration of high-resolution sensors with advanced analytics shows strong promise for effective inland water monitoring.","author":[{"dropping-particle":"","family":"Alemneh","given":"Lakachew Y.","non-dropping-particle":"","parse-names":false,"suffix":""},{"dropping-particle":"","family":"Aklog","given":"Daganchew","non-dropping-particle":"","parse-names":false,"suffix":""},{"dropping-particle":"van","family":"Griensven","given":"Ann","non-dropping-particle":"","parse-names":false,"suffix":""},{"dropping-particle":"","family":"Goshu","given":"Goraw","non-dropping-particle":"","parse-names":false,"suffix":""},{"dropping-particle":"","family":"Yalew","given":"Seleshi","non-dropping-particle":"","parse-names":false,"suffix":""},{"dropping-particle":"","family":"Abebe","given":"Wubneh B.","non-dropping-particle":"","parse-names":false,"suffix":""},{"dropping-particle":"","family":"Dersseh","given":"Minychl G.","non-dropping-particle":"","parse-names":false,"suffix":""},{"dropping-particle":"","family":"Mhiret","given":"Demesew A.","non-dropping-particle":"","parse-names":false,"suffix":""},{"dropping-particle":"","family":"Michailovsky","given":"Claire I.","non-dropping-particle":"","parse-names":false,"suffix":""},{"dropping-particle":"","family":"Amare","given":"Selamawit","non-dropping-particle":"","parse-names":false,"suffix":""},{"dropping-particle":"","family":"Asress","given":"Sisay","non-dropping-particle":"","parse-names":false,"suffix":""}],"container-title":"Water (Switzerland)","id":"ITEM-1","issue":"17","issued":{"date-parts":[["2025"]]},"title":"Remote Sensing Approaches for Water Hyacinth and Water Quality Monitoring: Global Trends, Techniques, and Applications","type":"article-journal","volume":"17"},"uris":["http://www.mendeley.com/documents/?uuid=28fd443b-cfae-46fd-8c11-6ddf9f3c742b"]}],"mendeley":{"formattedCitation":"(Alemneh et al., 2025)","plainTextFormattedCitation":"(Alemneh et al., 2025)","previouslyFormattedCitation":"(Alemneh et al., 2025)"},"properties":{"noteIndex":0},"schema":"https://github.com/citation-style-language/schema/raw/master/csl-citation.json"}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fldChar w:fldCharType="begin" w:fldLock="1"/>
      </w:r>
      <w:r>
        <w:rPr>
          <w:rFonts w:ascii="Times New Roman" w:hAnsi="Times New Roman" w:cs="Times New Roman"/>
        </w:rPr>
        <w:instrText>ADDIN CSL_CITATION {"citationItems":[{"id":"ITEM-1","itemData":{"DOI":"10.5194/isprs-archives-XLIII-B3-2021-341-2021","ISSN":"2194-9034","abstract":"&lt;p&gt;Abstract. Water hyacinth (Eichhornia crassipes) is an invasive hydro plant that invaded the waters of Lake Victoria and has since been spreading rapidly affecting the socio-economic livelihood of the community around the Lake. The weed's rapid spread is due to various anthropogenic activities in the surrounding environment among them being the eutrophication of the lake waters.This study aims at using remote sensing applications and presenting the results of the analysis of the water hyacinth Normalized Difference Vegetation Index (NDVI), water extent, and analysis of correlation with the water quality over time from Sentinel 2 satellite imagery in January 2017 to January of 2021. The analysis aims at understanding the vegetation growth coverage in the five years and sets the basis of monthly predictive modelling of the behavior of water hyacinth. Predictive modelling applies historical statistical data while trying to use trend analysis in predicting the future behavior of a phenomenon. This study also seeks to answer the research question of the role of suspended sediments and dissolved minerals in abating the spread of and growth of water hyacinth.&lt;/p&gt;","author":[{"dropping-particle":"","family":"Nyawacha","given":"S. O.","non-dropping-particle":"","parse-names":false,"suffix":""},{"dropping-particle":"","family":"Meta","given":"V.","non-dropping-particle":"","parse-names":false,"suffix":""},{"dropping-particle":"","family":"Osio","given":"A.","non-dropping-particle":"","parse-names":false,"suffix":""}],"container-title":"The International Archives of the Photogrammetry, Remote Sensing and Spatial Information Sciences","id":"ITEM-1","issued":{"date-parts":[["2021","6","28"]]},"page":"341-346","title":"SPATIAL TEMPORAL MAPPING OF SPREAD OF WATER HYACINTH IN WINUM GULF, LAKE VICTORIA","type":"article-journal","volume":"XLIII-B3-2"},"uris":["http://www.mendeley.com/documents/?uuid=8de779ed-c5bc-3f4c-b48c-3af908909796"]}],"mendeley":{"formattedCitation":"(Nyawacha et al., 2021)","plainTextFormattedCitation":"(Nyawacha et al., 2021)","previouslyFormattedCitation":"(Nyawacha et al., 2021)"},"properties":{"noteIndex":0},"schema":"https://github.com/citation-style-language/schema/raw/master/csl-citation.json"}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fldChar w:fldCharType="end"/>
      </w:r>
    </w:p>
    <w:p w14:paraId="415A6E59"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Lake Wamala is a shallow, closed-basin lake located in central Uganda, with a surface area of approximately 250 km² and an average depth of about 4.5 metres. It supports an important artisanal fishery and provides water and livelihoods for communities in the surrounding districts. Like many shallow tropical lakes, Lake Wamala is highly sensitive to nutrient enrichment from agricultural runoff and to fluctuations in water level driven by climate variability (</w:t>
      </w:r>
      <w:proofErr w:type="spellStart"/>
      <w:r>
        <w:rPr>
          <w:rFonts w:ascii="Times New Roman" w:hAnsi="Times New Roman" w:cs="Times New Roman"/>
        </w:rPr>
        <w:t>Okaronon</w:t>
      </w:r>
      <w:proofErr w:type="spellEnd"/>
      <w:r>
        <w:rPr>
          <w:rFonts w:ascii="Times New Roman" w:hAnsi="Times New Roman" w:cs="Times New Roman"/>
        </w:rPr>
        <w:t>,</w:t>
      </w:r>
      <w:r>
        <w:rPr>
          <w:rFonts w:ascii="Times New Roman" w:hAnsi="Times New Roman" w:cs="Times New Roman"/>
        </w:rPr>
        <w:fldChar w:fldCharType="begin" w:fldLock="1"/>
      </w:r>
      <w:r>
        <w:rPr>
          <w:rFonts w:ascii="Times New Roman" w:hAnsi="Times New Roman" w:cs="Times New Roman"/>
        </w:rPr>
        <w:instrText>ADDIN CSL_CITATION {"citationItems":[{"id":"ITEM-1","itemData":{"DOI":"10.4314/ajthf.v6i1.45933","ISSN":"0002-0036","author":[{"dropping-particle":"","family":"Okaronon","given":"JO","non-dropping-particle":"","parse-names":false,"suffix":""}],"container-title":"African Journal of Tropical Hydrobiology and Fisheries","id":"ITEM-1","issue":"1","issued":{"date-parts":[["2009","9","11"]]},"title":"A decline in fish catches and the size of &amp;lt;i&amp;gt; Oreochromis niloticus&amp;lt;/i&amp;gt; in Lake Wamala (Uganda) following human exploitation","type":"article-journal","volume":"6"},"uris":["http://www.mendeley.com/documents/?uuid=6c229484-5ed9-306d-9b85-b28c0966c24b"]}],"mendeley":{"formattedCitation":"(Okaronon, 2009)","plainTextFormattedCitation":"(Okaronon, 2009)","previouslyFormattedCitation":"(Okaronon, 2009)"},"properties":{"noteIndex":0},"schema":"https://github.com/citation-style-language/schema/raw/master/csl-citation.json"}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 xml:space="preserve"> 2009)</w:t>
      </w:r>
      <w:r>
        <w:rPr>
          <w:rFonts w:ascii="Times New Roman" w:hAnsi="Times New Roman" w:cs="Times New Roman"/>
        </w:rPr>
        <w:fldChar w:fldCharType="end"/>
      </w:r>
      <w:r>
        <w:rPr>
          <w:rFonts w:ascii="Times New Roman" w:hAnsi="Times New Roman" w:cs="Times New Roman"/>
        </w:rPr>
        <w:t>. These conditions create an environment in which aquatic weeds can proliferate rapidly, yet the spatial extent, temporal trends and seasonal dynamics of weed cover on the lake have not been systematically quantified (Al-lami et al., 2021).</w:t>
      </w:r>
      <w:r>
        <w:rPr>
          <w:rFonts w:ascii="Times New Roman" w:hAnsi="Times New Roman" w:cs="Times New Roman"/>
        </w:rPr>
        <w:fldChar w:fldCharType="begin" w:fldLock="1"/>
      </w:r>
      <w:r>
        <w:rPr>
          <w:rFonts w:ascii="Times New Roman" w:hAnsi="Times New Roman" w:cs="Times New Roman"/>
        </w:rPr>
        <w:instrText>ADDIN CSL_CITATION {"citationItems":[{"id":"ITEM-1","itemData":{"DOI":"10.1016/j.rsase.2021.100471","ISSN":"23529385","abstract":"The Nile rose or water hyacinth (Eichhornia crassipes) is an aquatic species threaten socio-economic and ecological systems, by invading freshwater ecosystems, affecting their productivity and functionality, as well as causing unfixable damage to key hydrological processes. Spectral signature differences can play a common role through using remote identification for these invasive plants, by using hyperspectral data, while many other studies showed that textural and phrenological differences are also can be considered as an effective strategy in this critical problem. New generation sensors like Sentinel 2 and Landsat 8 sensors of recently launched crop with improved sensing characteristics, unlike the previous broadband multispectral sensors has been provided untapped prospective alternatives. New insights were introduced in the detecting, mapping, and monitoring the spread of Nile Rose aquatic plant in the Tigris River at Wasit province in Iraq which has caused damage to fishing nets and make it difficult for fishermen to paddle on the river. Vegetation indices have been used to assess the impacts on major socio-economic activities in the study area. Spectral reflectance of Landsat 8 operational land imager OLI (acquired at Oct 6, 2016) was used to differentiate the spectral signature of the water hyacinth from other plants. These indices recorded the highest reflection of the Nile Rose plant relative to the rest of the plants. The result showed that the green Chlorophyll Index (CL Green) with overall accuracy of 89% which proved that this study has established a promising method for monitoring the invasion of the Nile Rose in the Tigris River to insure the availability of safe drinking water as a main source for the people such as in the study area nearby the part of Tigris River.","author":[{"dropping-particle":"","family":"Al-lami","given":"Ahmed Kadhim","non-dropping-particle":"","parse-names":false,"suffix":""},{"dropping-particle":"","family":"Abbood","given":"Raad A.","non-dropping-particle":"","parse-names":false,"suffix":""},{"dropping-particle":"","family":"Maliki","given":"Ali A.","non-dropping-particle":"Al","parse-names":false,"suffix":""},{"dropping-particle":"","family":"Al-Ansari","given":"Nadhir","non-dropping-particle":"","parse-names":false,"suffix":""}],"container-title":"Remote Sensing Applications: Society and Environment","id":"ITEM-1","issued":{"date-parts":[["2021","4","1"]]},"publisher":"Elsevier B.V.","title":"Using vegetation indices for monitoring the spread of Nile Rose plant in the Tigris River within Wasit province, Iraq","type":"article-journal","volume":"22"},"uris":["http://www.mendeley.com/documents/?uuid=0126395c-b1a2-3daf-b55c-72de64281c1e"]}],"mendeley":{"formattedCitation":"(Al-lami et al., 2021)","plainTextFormattedCitation":"(Al-lami et al., 2021)","previouslyFormattedCitation":"(Al-lami et al., 2021)"},"properties":{"noteIndex":0},"schema":"https://github.com/citation-style-language/schema/raw/master/csl-citation.json"}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fldChar w:fldCharType="end"/>
      </w:r>
    </w:p>
    <w:p w14:paraId="4548292B"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Traditional methods of mapping aquatic vegetation rely on field surveys, which are labour-intensive, costly and difficult to repeat at the frequency required to capture seasonal and inter-annual change across an entire lake. Remote sensing offers a practical alternative (Datta </w:t>
      </w:r>
      <w:r>
        <w:rPr>
          <w:rFonts w:ascii="Times New Roman" w:hAnsi="Times New Roman" w:cs="Times New Roman"/>
        </w:rPr>
        <w:fldChar w:fldCharType="begin" w:fldLock="1"/>
      </w:r>
      <w:r>
        <w:rPr>
          <w:rFonts w:ascii="Times New Roman" w:hAnsi="Times New Roman" w:cs="Times New Roman"/>
        </w:rPr>
        <w:instrText>ADDIN CSL_CITATION {"citationItems":[{"id":"ITEM-1","itemData":{"DOI":"10.3389/fevo.2021.631338","ISSN":"2296701X","abstract":"Water hyacinth (Pontederia crassipes, also referred to as Eichhornia crassipes) is one of the most invasive weed species in the world, causing significant adverse economic and ecological impacts, particularly in tropical and sub-tropical regions. Large scale real-time monitoring of areas of chronic infestation is critical to formulate effective control strategies for this fast spreading weed species. Assessment of revenue generation potential of the harvested water hyacinth biomass also requires enhanced understanding to estimate the biomass yield potential for a given water body. Modern remote sensing technologies can greatly enhance our capacity to understand, monitor, and estimate water hyacinth infestation within inland as well as coastal freshwater bodies. Readily available satellite imagery with high spectral, temporal, and spatial resolution, along with conventional and modern machine learning techniques for automated image analysis, can enable discrimination of water hyacinth infestation from other floating or submerged vegetation. Remote sensing can potentially be complemented with an array of other technology-based methods, including aerial surveys, ground-level sensors, and citizen science, to provide comprehensive, timely, and accurate monitoring. This review discusses the latest developments in the use of remote sensing and other technologies to monitor water hyacinth infestation, and proposes a novel, multi-modal approach that combines the strengths of the different methods.","author":[{"dropping-particle":"","family":"Datta","given":"Aviraj","non-dropping-particle":"","parse-names":false,"suffix":""},{"dropping-particle":"","family":"Maharaj","given":"Savitri","non-dropping-particle":"","parse-names":false,"suffix":""},{"dropping-particle":"","family":"Prabhu","given":"G. Nagendra","non-dropping-particle":"","parse-names":false,"suffix":""},{"dropping-particle":"","family":"Bhowmik","given":"Deepayan","non-dropping-particle":"","parse-names":false,"suffix":""},{"dropping-particle":"","family":"Marino","given":"Armando","non-dropping-particle":"","parse-names":false,"suffix":""},{"dropping-particle":"","family":"Akbari","given":"Vahid","non-dropping-particle":"","parse-names":false,"suffix":""},{"dropping-particle":"","family":"Rupavatharam","given":"Srikanth","non-dropping-particle":"","parse-names":false,"suffix":""},{"dropping-particle":"","family":"Sujeetha","given":"J. Alice R.P.","non-dropping-particle":"","parse-names":false,"suffix":""},{"dropping-particle":"","family":"Anantrao","given":"Girish Gunjotikar","non-dropping-particle":"","parse-names":false,"suffix":""},{"dropping-particle":"","family":"Poduvattil","given":"Vidhu Kampurath","non-dropping-particle":"","parse-names":false,"suffix":""},{"dropping-particle":"","family":"Kumar","given":"Saurav","non-dropping-particle":"","parse-names":false,"suffix":""},{"dropping-particle":"","family":"Kleczkowski","given":"Adam","non-dropping-particle":"","parse-names":false,"suffix":""}],"container-title":"Frontiers in Ecology and Evolution","id":"ITEM-1","issued":{"date-parts":[["2021","1","28"]]},"publisher":"Frontiers Media S.A.","title":"Monitoring the Spread of Water Hyacinth (Pontederia crassipes): Challenges and Future Developments","type":"article","volume":"9"},"uris":["http://www.mendeley.com/documents/?uuid=16e95737-cfdf-376f-845a-7b34377846ad"]}],"mendeley":{"formattedCitation":"(Datta et al., 2021)","plainTextFormattedCitation":"(Datta et al., 2021)","previouslyFormattedCitation":"(Datta et al., 2021)"},"properties":{"noteIndex":0},"schema":"https://github.com/citation-style-language/schema/raw/master/csl-citation.json"}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et al., 2021; Ba</w:t>
      </w:r>
      <w:r>
        <w:rPr>
          <w:rFonts w:ascii="Times New Roman" w:hAnsi="Times New Roman" w:cs="Times New Roman"/>
        </w:rPr>
        <w:fldChar w:fldCharType="end"/>
      </w:r>
      <w:r>
        <w:rPr>
          <w:rFonts w:ascii="Times New Roman" w:hAnsi="Times New Roman" w:cs="Times New Roman"/>
        </w:rPr>
        <w:fldChar w:fldCharType="begin" w:fldLock="1"/>
      </w:r>
      <w:r>
        <w:rPr>
          <w:rFonts w:ascii="Times New Roman" w:hAnsi="Times New Roman" w:cs="Times New Roman"/>
        </w:rPr>
        <w:instrText>ADDIN CSL_CITATION {"citationItems":[{"id":"ITEM-1","itemData":{"abstract":"The nuisance macrophyte, water hyacinth, is an alien aquatic weed that was first reported on the Ugandan portion of Lake Victoria in 1989. Since that time, water hyacinth spread rapidly and by 1995, it had colonised much of the lake's shoreline. Lake wide surveys were conducted with the objective of collecting data on environmental factors influencing hyacinth proliferation, in addition to impacts of its infestation on the ecological, social and economic aspects of the environment. The data was collected before, during and after the peak infestation. The nutrient-rich environment contributed significantly to the weed's rapid proliferation, and was enhanced by shelter from offshore winds. Additionally, waves and water currents dispersed viable propagates to several destinations and got established across the lake. Both the stationary and mobile mats imposed varying magnitudes of impacts on the ecological, social and economic aspects of the lake environment. Water hyacinth infestation impaired fishing, breeding and nursery grounds, impaired fishing and transport activities, in addition to negatively impairing various business enterprises at the lakeshores. The overwhelming negative impacts led to declaration of water hyacinth as an environmental pest hence all efforts were aimed at controlling it. Biological control was applied on a large scale, while manual and mechanical extraction of the weeds was effected at strategic locations. By 1999, water hyacinth had been brought under control (by more than 80 %) in most bays of the lake, but infestations in riverine environments remain untackled despite the concerted efforts. The well-established biological control agents continue to suppress any resurgence of the weed hence proliferation is unlikely to attain the magnitude recorded in 1998. The problem of other potential aquatic weeds (e.g. Naja horrida and Trappa natans) however, pose challenges to management especially of the littoral water quality and fisheries in Uganda's aquatic systems and need redress before they attain alarming magnitudes. Additionally, management of nutrient loading into aquatic systems ought to be an integral part of every effort to manage aquatic weeds since nutrients are critical environmental factors in influencing proliferation.","author":[{"dropping-particle":"","family":"Balirwa","given":"J S","non-dropping-particle":"","parse-names":false,"suffix":""},{"dropping-particle":"","family":"Wanda","given":"*","non-dropping-particle":"","parse-names":false,"suffix":""}],"id":"ITEM-1","issued":{"date-parts":[["0"]]},"title":"Water Quality and Quantity Synthesis Final Report, LVEMP December 2005 Water Quality and Ecosystems Management Component Impacts of water quality change on beneficial uses of Lake Victoria, Uganda","type":"report"},"uris":["http://www.mendeley.com/documents/?uuid=b55d54d5-da79-3345-accd-dac65a80c566"]}],"mendeley":{"formattedCitation":"(Balirwa &amp; Wanda, n.d.)","plainTextFormattedCitation":"(Balirwa &amp; Wanda, n.d.)","previouslyFormattedCitation":"(Balirwa &amp; Wanda, n.d.)"},"properties":{"noteIndex":0},"schema":"https://github.com/citation-style-language/schema/raw/master/csl-citation.json"}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lirwa &amp; Wanda, n.d.)</w:t>
      </w:r>
      <w:r>
        <w:rPr>
          <w:rFonts w:ascii="Times New Roman" w:hAnsi="Times New Roman" w:cs="Times New Roman"/>
        </w:rPr>
        <w:fldChar w:fldCharType="end"/>
      </w:r>
      <w:r>
        <w:rPr>
          <w:rFonts w:ascii="Times New Roman" w:hAnsi="Times New Roman" w:cs="Times New Roman"/>
        </w:rPr>
        <w:t>. Spectral indices computed from satellite imagery, in particular the Normalized Difference Vegetation Index (NDVI) and the Normalized Difference Water Index (NDWI), exploit the contrasting reflectance of vegetation and water in the visible, near-infrared and short-wave infrared regions of the electromagnetic spectrum. The free availability of Sentinel-2 imagery, with a 10-metre spatial resolution and a five-day revisit time, has made high-quality, repeatable monitoring of inland water bodies feasible even for resource-constrained institutions.</w:t>
      </w:r>
    </w:p>
    <w:p w14:paraId="7C60327B"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lastRenderedPageBreak/>
        <w:t>Within the East African region, the disruption caused by aquatic weeds is well documented, the explosive spread of water hyacinth across the Lake Victoria basin during the 1990s remaining the clearest illustration of how rapidly a single invasive species can transform a large freshwater system and undermine the fisheries and livelihoods that depend on it (Havel et al., 2015). Satellite remote sensing has since been used to track such infestations on major water bodies, including Lake Victoria and Lake Tana as well as large river systems, demonstrating that spectral indices such as NDVI and NDWI can reliably separate aquatic vegetation from open water at comparatively low cost (</w:t>
      </w:r>
      <w:proofErr w:type="spellStart"/>
      <w:r>
        <w:rPr>
          <w:rFonts w:ascii="Times New Roman" w:hAnsi="Times New Roman" w:cs="Times New Roman"/>
        </w:rPr>
        <w:t>Alemneh</w:t>
      </w:r>
      <w:proofErr w:type="spellEnd"/>
      <w:r>
        <w:rPr>
          <w:rFonts w:ascii="Times New Roman" w:hAnsi="Times New Roman" w:cs="Times New Roman"/>
        </w:rPr>
        <w:t xml:space="preserve"> et al., 2025; </w:t>
      </w:r>
      <w:proofErr w:type="spellStart"/>
      <w:r>
        <w:rPr>
          <w:rFonts w:ascii="Times New Roman" w:hAnsi="Times New Roman" w:cs="Times New Roman"/>
        </w:rPr>
        <w:t>Nyawacha</w:t>
      </w:r>
      <w:proofErr w:type="spellEnd"/>
      <w:r>
        <w:rPr>
          <w:rFonts w:ascii="Times New Roman" w:hAnsi="Times New Roman" w:cs="Times New Roman"/>
        </w:rPr>
        <w:t xml:space="preserve"> et al., 2021; Al-lami et al., 2021). Comparable multi-temporal assessments have not, however, been undertaken for Lake Wamala, whose smaller size and limited monitoring resources have left the spatial pattern and seasonal behaviour of its weed cover largely undocumented. The present study addresses this gap by applying NDVI and NDWI to a multi-year archive of Sentinel-2 imagery to map and assess the spread of aquatic weeds across Lake Wamala and its basin, providing the evidence base needed to inform the management questions set out in the sections that follow.</w:t>
      </w:r>
    </w:p>
    <w:p w14:paraId="117D8D0D" w14:textId="77777777" w:rsidR="00DB0109" w:rsidRPr="00352C77" w:rsidRDefault="007B6AAF" w:rsidP="00A623D5">
      <w:pPr>
        <w:pStyle w:val="Heading2"/>
        <w:spacing w:line="360" w:lineRule="auto"/>
        <w:rPr>
          <w:rFonts w:ascii="Times New Roman" w:hAnsi="Times New Roman" w:cs="Times New Roman"/>
        </w:rPr>
      </w:pPr>
      <w:bookmarkStart w:id="11" w:name="_Toc237884265"/>
      <w:r>
        <w:rPr>
          <w:rFonts w:ascii="Times New Roman" w:hAnsi="Times New Roman" w:cs="Times New Roman"/>
        </w:rPr>
        <w:t>1.2 Statement of the Problem</w:t>
      </w:r>
      <w:bookmarkEnd w:id="11"/>
    </w:p>
    <w:p w14:paraId="1898E2A6" w14:textId="77777777" w:rsidR="00345BBD"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Lake Wamala holds significant ecological, socio-economic and cultural value for central Uganda, supporting an important artisanal fishery, providing water for domestic and agricultural use, and sustaining the livelihoods of the communities in the surrounding districts. Ideally, the lake would remain free from excessive aquatic weed infestation, with its open water, littoral zones and wetland fringes maintained in a condition that safeguards biodiversity, fisheries productivity and community well-being. This ideal is enshrined in Uganda’s National Environment Management Policy (1994), the Water Act, Cap 152 (1995) and the National Policy for the Conservation and Management of Wetland Resources (1995), all of which mandate the sustainable management of water bodies and wetland ecosystems. It is further reinforced by Uganda Vision 2040 and the Third National Development Plan (NDP III), and by global commitments under Sustainable Development Goal 6 (Clean Water and Sanitation), SDG 15 (Life on Land) and the Ramsar Convention on Wetlands, which together call for healthy, well-managed freshwater ecosystems that remain resilient and beneficial to the communities that depend on them.</w:t>
      </w:r>
    </w:p>
    <w:p w14:paraId="3C3BB340" w14:textId="77777777" w:rsidR="00345BBD"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In reality, Lake Wamala faces a growing threat from the rapid spread of aquatic weeds, notably water hyacinth (</w:t>
      </w:r>
      <w:r>
        <w:rPr>
          <w:rFonts w:ascii="Times New Roman" w:hAnsi="Times New Roman" w:cs="Times New Roman"/>
          <w:i/>
          <w:iCs/>
        </w:rPr>
        <w:t>Eichhornia crassipes</w:t>
      </w:r>
      <w:r>
        <w:rPr>
          <w:rFonts w:ascii="Times New Roman" w:hAnsi="Times New Roman" w:cs="Times New Roman"/>
        </w:rPr>
        <w:t xml:space="preserve">) and dense beds of emergent vegetation, which degrade </w:t>
      </w:r>
      <w:r>
        <w:rPr>
          <w:rFonts w:ascii="Times New Roman" w:hAnsi="Times New Roman" w:cs="Times New Roman"/>
        </w:rPr>
        <w:lastRenderedPageBreak/>
        <w:t>water quality, disrupt biodiversity and undermine the ecosystem services on which fishing and farming communities depend. The achievement of the ideal is hindered, however, by a fundamental information gap: the spatial distribution, temporal trends and seasonal dynamics of weed cover on the lake have never been systematically quantified. Conventional monitoring relies on field surveys that are labour-intensive, costly, time-consuming and difficult to repeat at the frequency and spatial coverage required to track a rapidly changing infestation across an entire lake. Compounding this, Uganda has seen only limited uptake of advanced remote-sensing methods—such as the Normalized Difference Vegetation Index (NDVI) and the Normalized Difference Water Index (NDWI)—that have proven effective elsewhere for mapping aquatic vegetation dynamics.</w:t>
      </w:r>
    </w:p>
    <w:p w14:paraId="595879E3" w14:textId="77777777" w:rsidR="00345BBD"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As a consequence, management responses to weed infestation on Lake Wamala remain largely reactive and poorly targeted. In the absence of objective, spatially explicit evidence of where weeds are concentrated, how their extent has changed over time and how it varies by season, interventions risk being applied uniformly and inefficiently across the lake—wasting scarce resources on areas that do not require treatment while under-serving genuine hotspots. Should this gap persist, weed proliferation is likely to advance unchecked, further eroding fish catches, water quality and the livelihoods of dependent communities, and undermining the national and international commitments outlined above.</w:t>
      </w:r>
    </w:p>
    <w:p w14:paraId="3248D8ED" w14:textId="77777777" w:rsidR="00345BBD"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This study addresses that gap by using NDVI and the complementary NDWI, derived from freely available Sentinel-2 imagery for the period 2017–2025, to assess and quantify the spread of aquatic weeds on Lake Wamala. Drawing on 30,296 pixel-level observations sampled at 16 stations distributed across five regions and seven ecological zones, it provides a cost-effective, scalable and repeatable basis for mapping weed distribution, detecting temporal trends and characterising seasonal dynamics. In doing so, the study generates actionable, evidence-based information for lake managers, the National Environment Management Authority, the Ministry of Water and Environment and local governments, enabling the targeted, cost-effective interventions envisaged under NDP III and Uganda’s wider environmental policy framework, and contributing to global efforts to preserve freshwater ecosystems.</w:t>
      </w:r>
    </w:p>
    <w:p w14:paraId="2FB6BF4F" w14:textId="77777777" w:rsidR="00DB0109" w:rsidRPr="00352C77" w:rsidRDefault="007B6AAF" w:rsidP="00A623D5">
      <w:pPr>
        <w:pStyle w:val="Heading2"/>
        <w:spacing w:line="360" w:lineRule="auto"/>
        <w:rPr>
          <w:rFonts w:ascii="Times New Roman" w:hAnsi="Times New Roman" w:cs="Times New Roman"/>
        </w:rPr>
      </w:pPr>
      <w:bookmarkStart w:id="12" w:name="_Toc237884266"/>
      <w:r>
        <w:rPr>
          <w:rFonts w:ascii="Times New Roman" w:hAnsi="Times New Roman" w:cs="Times New Roman"/>
        </w:rPr>
        <w:lastRenderedPageBreak/>
        <w:t>1.3 Objectives of the Study</w:t>
      </w:r>
      <w:bookmarkEnd w:id="12"/>
    </w:p>
    <w:p w14:paraId="10D610EB" w14:textId="77777777" w:rsidR="00DB0109" w:rsidRPr="00352C77" w:rsidRDefault="007B6AAF" w:rsidP="00A623D5">
      <w:pPr>
        <w:pStyle w:val="Heading3"/>
        <w:spacing w:line="360" w:lineRule="auto"/>
        <w:rPr>
          <w:rFonts w:ascii="Times New Roman" w:hAnsi="Times New Roman" w:cs="Times New Roman"/>
        </w:rPr>
      </w:pPr>
      <w:bookmarkStart w:id="13" w:name="_Toc237884267"/>
      <w:r>
        <w:rPr>
          <w:rFonts w:ascii="Times New Roman" w:hAnsi="Times New Roman" w:cs="Times New Roman"/>
        </w:rPr>
        <w:t>1.3.1 General Objective</w:t>
      </w:r>
      <w:bookmarkEnd w:id="13"/>
    </w:p>
    <w:p w14:paraId="7F53CB54"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The general objective of this study was to use NDVI and the complementary NDWI, derived from Sentinel-2 imagery, to assess the spread of aquatic weeds on Lake Wamala, Uganda.</w:t>
      </w:r>
    </w:p>
    <w:p w14:paraId="4CAC4C0D" w14:textId="77777777" w:rsidR="00DB0109" w:rsidRPr="00352C77" w:rsidRDefault="007B6AAF" w:rsidP="00A623D5">
      <w:pPr>
        <w:pStyle w:val="Heading3"/>
        <w:spacing w:line="360" w:lineRule="auto"/>
        <w:rPr>
          <w:rFonts w:ascii="Times New Roman" w:hAnsi="Times New Roman" w:cs="Times New Roman"/>
        </w:rPr>
      </w:pPr>
      <w:bookmarkStart w:id="14" w:name="_Toc237884268"/>
      <w:r>
        <w:rPr>
          <w:rFonts w:ascii="Times New Roman" w:hAnsi="Times New Roman" w:cs="Times New Roman"/>
        </w:rPr>
        <w:t>1.3.2 Specific Objectives</w:t>
      </w:r>
      <w:bookmarkEnd w:id="14"/>
    </w:p>
    <w:p w14:paraId="08EE765A" w14:textId="77777777" w:rsidR="00DB0109" w:rsidRPr="00352C77" w:rsidRDefault="007B6AAF" w:rsidP="00A623D5">
      <w:pPr>
        <w:pStyle w:val="ListParagraph"/>
        <w:numPr>
          <w:ilvl w:val="0"/>
          <w:numId w:val="2"/>
        </w:numPr>
        <w:spacing w:after="100" w:line="360" w:lineRule="auto"/>
        <w:jc w:val="both"/>
        <w:rPr>
          <w:rFonts w:ascii="Times New Roman" w:hAnsi="Times New Roman" w:cs="Times New Roman"/>
        </w:rPr>
      </w:pPr>
      <w:r>
        <w:rPr>
          <w:rFonts w:ascii="Times New Roman" w:hAnsi="Times New Roman" w:cs="Times New Roman"/>
        </w:rPr>
        <w:t>To evaluate the effectiveness of NDVI and NDWI as complementary indices for mapping aquatic weeds on Lake Wamala.</w:t>
      </w:r>
    </w:p>
    <w:p w14:paraId="3F3F1630" w14:textId="77777777" w:rsidR="00DB0109" w:rsidRPr="00352C77" w:rsidRDefault="007B6AAF" w:rsidP="00A623D5">
      <w:pPr>
        <w:pStyle w:val="ListParagraph"/>
        <w:numPr>
          <w:ilvl w:val="0"/>
          <w:numId w:val="2"/>
        </w:numPr>
        <w:spacing w:after="100" w:line="360" w:lineRule="auto"/>
        <w:jc w:val="both"/>
        <w:rPr>
          <w:rFonts w:ascii="Times New Roman" w:hAnsi="Times New Roman" w:cs="Times New Roman"/>
        </w:rPr>
      </w:pPr>
      <w:r>
        <w:rPr>
          <w:rFonts w:ascii="Times New Roman" w:hAnsi="Times New Roman" w:cs="Times New Roman"/>
        </w:rPr>
        <w:t>To map the spatial distribution of aquatic weed cover across the regions and ecological zones of Lake Wamala, and its inter-annual trend between 2017 and 2025.</w:t>
      </w:r>
    </w:p>
    <w:p w14:paraId="724311D1" w14:textId="77777777" w:rsidR="00DB0109" w:rsidRPr="00352C77" w:rsidRDefault="007B6AAF" w:rsidP="00A623D5">
      <w:pPr>
        <w:pStyle w:val="ListParagraph"/>
        <w:numPr>
          <w:ilvl w:val="0"/>
          <w:numId w:val="2"/>
        </w:numPr>
        <w:spacing w:after="100" w:line="360" w:lineRule="auto"/>
        <w:jc w:val="both"/>
        <w:rPr>
          <w:rFonts w:ascii="Times New Roman" w:hAnsi="Times New Roman" w:cs="Times New Roman"/>
        </w:rPr>
      </w:pPr>
      <w:r>
        <w:rPr>
          <w:rFonts w:ascii="Times New Roman" w:hAnsi="Times New Roman" w:cs="Times New Roman"/>
        </w:rPr>
        <w:t>To identify the within-year seasonal patterns in the vegetation and water dynamics of the lake.</w:t>
      </w:r>
    </w:p>
    <w:p w14:paraId="120F6BBA" w14:textId="77777777" w:rsidR="00DB0109" w:rsidRPr="00352C77" w:rsidRDefault="007B6AAF" w:rsidP="00A623D5">
      <w:pPr>
        <w:pStyle w:val="Heading2"/>
        <w:spacing w:line="360" w:lineRule="auto"/>
        <w:rPr>
          <w:rFonts w:ascii="Times New Roman" w:hAnsi="Times New Roman" w:cs="Times New Roman"/>
        </w:rPr>
      </w:pPr>
      <w:bookmarkStart w:id="15" w:name="_Toc237884269"/>
      <w:r>
        <w:rPr>
          <w:rFonts w:ascii="Times New Roman" w:hAnsi="Times New Roman" w:cs="Times New Roman"/>
        </w:rPr>
        <w:t>1.4 Research Questions</w:t>
      </w:r>
      <w:bookmarkEnd w:id="15"/>
    </w:p>
    <w:p w14:paraId="74A46827" w14:textId="77777777" w:rsidR="00DB0109" w:rsidRPr="00352C77" w:rsidRDefault="007B6AAF" w:rsidP="00A623D5">
      <w:pPr>
        <w:pStyle w:val="ListParagraph"/>
        <w:numPr>
          <w:ilvl w:val="0"/>
          <w:numId w:val="3"/>
        </w:numPr>
        <w:spacing w:after="100" w:line="360" w:lineRule="auto"/>
        <w:jc w:val="both"/>
        <w:rPr>
          <w:rFonts w:ascii="Times New Roman" w:hAnsi="Times New Roman" w:cs="Times New Roman"/>
        </w:rPr>
      </w:pPr>
      <w:r>
        <w:rPr>
          <w:rFonts w:ascii="Times New Roman" w:hAnsi="Times New Roman" w:cs="Times New Roman"/>
        </w:rPr>
        <w:t>How effective are NDVI and NDWI, used together, for mapping aquatic weeds on Lake Wamala?</w:t>
      </w:r>
    </w:p>
    <w:p w14:paraId="623C991A" w14:textId="77777777" w:rsidR="00DB0109" w:rsidRPr="00352C77" w:rsidRDefault="007B6AAF" w:rsidP="00A623D5">
      <w:pPr>
        <w:pStyle w:val="ListParagraph"/>
        <w:numPr>
          <w:ilvl w:val="0"/>
          <w:numId w:val="3"/>
        </w:numPr>
        <w:spacing w:after="100" w:line="360" w:lineRule="auto"/>
        <w:jc w:val="both"/>
        <w:rPr>
          <w:rFonts w:ascii="Times New Roman" w:hAnsi="Times New Roman" w:cs="Times New Roman"/>
        </w:rPr>
      </w:pPr>
      <w:r>
        <w:rPr>
          <w:rFonts w:ascii="Times New Roman" w:hAnsi="Times New Roman" w:cs="Times New Roman"/>
        </w:rPr>
        <w:t>How is aquatic weed cover distributed across the regions and ecological zones of the lake, and how has it changed from year to year between 2017 and 2025?</w:t>
      </w:r>
    </w:p>
    <w:p w14:paraId="49CA5AE1" w14:textId="77777777" w:rsidR="00DB0109" w:rsidRPr="00352C77" w:rsidRDefault="007B6AAF" w:rsidP="00A623D5">
      <w:pPr>
        <w:pStyle w:val="ListParagraph"/>
        <w:numPr>
          <w:ilvl w:val="0"/>
          <w:numId w:val="3"/>
        </w:numPr>
        <w:spacing w:after="100" w:line="360" w:lineRule="auto"/>
        <w:jc w:val="both"/>
        <w:rPr>
          <w:rFonts w:ascii="Times New Roman" w:hAnsi="Times New Roman" w:cs="Times New Roman"/>
        </w:rPr>
      </w:pPr>
      <w:r>
        <w:rPr>
          <w:rFonts w:ascii="Times New Roman" w:hAnsi="Times New Roman" w:cs="Times New Roman"/>
        </w:rPr>
        <w:t>What within-year seasonal patterns characterise the vegetation and water dynamics of the lake?</w:t>
      </w:r>
    </w:p>
    <w:p w14:paraId="730D3ACF" w14:textId="77777777" w:rsidR="00DB0109" w:rsidRPr="00352C77" w:rsidRDefault="007B6AAF" w:rsidP="00A623D5">
      <w:pPr>
        <w:pStyle w:val="Heading2"/>
        <w:spacing w:line="360" w:lineRule="auto"/>
        <w:rPr>
          <w:rFonts w:ascii="Times New Roman" w:hAnsi="Times New Roman" w:cs="Times New Roman"/>
        </w:rPr>
      </w:pPr>
      <w:bookmarkStart w:id="16" w:name="_Toc237884270"/>
      <w:r>
        <w:rPr>
          <w:rFonts w:ascii="Times New Roman" w:hAnsi="Times New Roman" w:cs="Times New Roman"/>
        </w:rPr>
        <w:t>1.5 Significance of the Study</w:t>
      </w:r>
      <w:bookmarkEnd w:id="16"/>
    </w:p>
    <w:p w14:paraId="5D960591"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The findings of this study provide lake managers, the National Environment Management Authority, the Ministry of Water and Environment and local governments with an objective basis for prioritising weed management interventions. By identifying the specific regions and zones where infestation is concentrated, the study supports the efficient allocation of limited management resources. It also demonstrates a replicable, low-cost remote-sensing workflow that can be extended to other Ugandan lakes facing similar challenges, and contributes to the scientific understanding of aquatic vegetation dynamics in shallow tropical lakes.</w:t>
      </w:r>
    </w:p>
    <w:p w14:paraId="5F607AF1" w14:textId="77777777" w:rsidR="00DB0109" w:rsidRPr="00352C77" w:rsidRDefault="007B6AAF" w:rsidP="00A623D5">
      <w:pPr>
        <w:pStyle w:val="Heading2"/>
        <w:spacing w:line="360" w:lineRule="auto"/>
        <w:rPr>
          <w:rFonts w:ascii="Times New Roman" w:hAnsi="Times New Roman" w:cs="Times New Roman"/>
        </w:rPr>
      </w:pPr>
      <w:bookmarkStart w:id="17" w:name="_Toc237884271"/>
      <w:r>
        <w:rPr>
          <w:rFonts w:ascii="Times New Roman" w:hAnsi="Times New Roman" w:cs="Times New Roman"/>
        </w:rPr>
        <w:lastRenderedPageBreak/>
        <w:t>1.6 Scope of the Study</w:t>
      </w:r>
      <w:bookmarkEnd w:id="17"/>
    </w:p>
    <w:p w14:paraId="135965A4"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The study focused on Lake Wamala in central Uganda. The analysis was based on Sentinel-2 imagery for three years (2017, 2022 and 2025) and five months (January, February, March, June and September), sampled at 16 ground stations distributed across five regions and seven ecological zone types, yielding 30,296 pixel-level observations. The study was confined to surface-detectable vegetation captured by NDVI and NDWI; submerged vegetation not detectable by these surface indices was outside its scope.</w:t>
      </w:r>
    </w:p>
    <w:p w14:paraId="679D023E" w14:textId="77777777" w:rsidR="00DB0109" w:rsidRPr="00352C77" w:rsidRDefault="007B6AAF" w:rsidP="00A623D5">
      <w:pPr>
        <w:pStyle w:val="Heading2"/>
        <w:spacing w:line="360" w:lineRule="auto"/>
        <w:rPr>
          <w:rFonts w:ascii="Times New Roman" w:hAnsi="Times New Roman" w:cs="Times New Roman"/>
        </w:rPr>
      </w:pPr>
      <w:bookmarkStart w:id="18" w:name="_Toc237884272"/>
      <w:r>
        <w:rPr>
          <w:rFonts w:ascii="Times New Roman" w:hAnsi="Times New Roman" w:cs="Times New Roman"/>
        </w:rPr>
        <w:t>1.7 Limitations of the Study</w:t>
      </w:r>
      <w:bookmarkEnd w:id="18"/>
    </w:p>
    <w:p w14:paraId="0D6BF12C" w14:textId="77777777" w:rsidR="00DB0109" w:rsidRPr="00352C77" w:rsidRDefault="007B6AAF" w:rsidP="00A623D5">
      <w:pPr>
        <w:pStyle w:val="ListParagraph"/>
        <w:numPr>
          <w:ilvl w:val="0"/>
          <w:numId w:val="4"/>
        </w:numPr>
        <w:spacing w:after="80" w:line="360" w:lineRule="auto"/>
        <w:jc w:val="both"/>
        <w:rPr>
          <w:rFonts w:ascii="Times New Roman" w:hAnsi="Times New Roman" w:cs="Times New Roman"/>
        </w:rPr>
      </w:pPr>
      <w:r>
        <w:rPr>
          <w:rFonts w:ascii="Times New Roman" w:hAnsi="Times New Roman" w:cs="Times New Roman"/>
        </w:rPr>
        <w:t>NDVI and NDWI detect surface and near-surface vegetation; densely submerged macrophytes may therefore be under-estimated.</w:t>
      </w:r>
    </w:p>
    <w:p w14:paraId="010FE700" w14:textId="77777777" w:rsidR="00DB0109" w:rsidRPr="00352C77" w:rsidRDefault="007B6AAF" w:rsidP="00A623D5">
      <w:pPr>
        <w:pStyle w:val="ListParagraph"/>
        <w:numPr>
          <w:ilvl w:val="0"/>
          <w:numId w:val="4"/>
        </w:numPr>
        <w:spacing w:after="80" w:line="360" w:lineRule="auto"/>
        <w:jc w:val="both"/>
        <w:rPr>
          <w:rFonts w:ascii="Times New Roman" w:hAnsi="Times New Roman" w:cs="Times New Roman"/>
        </w:rPr>
      </w:pPr>
      <w:r>
        <w:rPr>
          <w:rFonts w:ascii="Times New Roman" w:hAnsi="Times New Roman" w:cs="Times New Roman"/>
        </w:rPr>
        <w:t>The temporal sample comprised three discrete years rather than a continuous time series, which limits the resolution of inter-annual trend analysis.</w:t>
      </w:r>
    </w:p>
    <w:p w14:paraId="5A1D9F73" w14:textId="77777777" w:rsidR="00DB0109" w:rsidRPr="00352C77" w:rsidRDefault="007B6AAF" w:rsidP="00A623D5">
      <w:pPr>
        <w:pStyle w:val="ListParagraph"/>
        <w:numPr>
          <w:ilvl w:val="0"/>
          <w:numId w:val="4"/>
        </w:numPr>
        <w:spacing w:after="80" w:line="360" w:lineRule="auto"/>
        <w:jc w:val="both"/>
        <w:rPr>
          <w:rFonts w:ascii="Times New Roman" w:hAnsi="Times New Roman" w:cs="Times New Roman"/>
        </w:rPr>
      </w:pPr>
      <w:r>
        <w:rPr>
          <w:rFonts w:ascii="Times New Roman" w:hAnsi="Times New Roman" w:cs="Times New Roman"/>
        </w:rPr>
        <w:t>Ground-truth vegetation cover data collected simultaneously with image acquisition were not available, so spectral classifications were validated against established threshold values rather than field measurements.</w:t>
      </w:r>
    </w:p>
    <w:p w14:paraId="3D7ADE50" w14:textId="77777777" w:rsidR="00DB0109" w:rsidRPr="00352C77" w:rsidRDefault="007B6AAF" w:rsidP="00A623D5">
      <w:pPr>
        <w:pStyle w:val="ListParagraph"/>
        <w:numPr>
          <w:ilvl w:val="0"/>
          <w:numId w:val="4"/>
        </w:numPr>
        <w:spacing w:after="80" w:line="360" w:lineRule="auto"/>
        <w:jc w:val="both"/>
        <w:rPr>
          <w:rFonts w:ascii="Times New Roman" w:hAnsi="Times New Roman" w:cs="Times New Roman"/>
        </w:rPr>
      </w:pPr>
      <w:r>
        <w:rPr>
          <w:rFonts w:ascii="Times New Roman" w:hAnsi="Times New Roman" w:cs="Times New Roman"/>
        </w:rPr>
        <w:t>Cloud cover, a common constraint in tropical regions, restricted the choice of cloud-free scenes for some months.</w:t>
      </w:r>
    </w:p>
    <w:p w14:paraId="2DAF78B5" w14:textId="77777777" w:rsidR="00000DC4" w:rsidRPr="00352C77" w:rsidRDefault="00000DC4" w:rsidP="00A623D5">
      <w:pPr>
        <w:pStyle w:val="Heading2"/>
        <w:spacing w:line="360" w:lineRule="auto"/>
        <w:rPr>
          <w:rFonts w:ascii="Times New Roman" w:hAnsi="Times New Roman" w:cs="Times New Roman"/>
        </w:rPr>
      </w:pPr>
      <w:bookmarkStart w:id="19" w:name="_Toc237884273"/>
      <w:r>
        <w:rPr>
          <w:rFonts w:ascii="Times New Roman" w:hAnsi="Times New Roman" w:cs="Times New Roman"/>
        </w:rPr>
        <w:t>1.8 Conceptual Framework</w:t>
      </w:r>
      <w:bookmarkEnd w:id="19"/>
    </w:p>
    <w:p w14:paraId="3FB682D5" w14:textId="77777777" w:rsidR="00000DC4" w:rsidRPr="00352C77" w:rsidRDefault="00000DC4" w:rsidP="00A623D5">
      <w:pPr>
        <w:spacing w:after="160" w:line="360" w:lineRule="auto"/>
        <w:jc w:val="both"/>
        <w:rPr>
          <w:rFonts w:ascii="Times New Roman" w:hAnsi="Times New Roman" w:cs="Times New Roman"/>
        </w:rPr>
      </w:pPr>
      <w:r>
        <w:rPr>
          <w:rFonts w:ascii="Times New Roman" w:hAnsi="Times New Roman" w:cs="Times New Roman"/>
        </w:rPr>
        <w:t>A conceptual framework illustrates the variables examined in this study and the relationships expected to hold between them. Developed from the literature reviewed in Chapter Two, the framework links the environmental drivers of aquatic weed proliferation on Lake Wamala to the spectral indices used to detect and map that proliferation, and identifies the further factors expected to influence these relationships. It is summarised visually in Figure 1 and explained below.</w:t>
      </w:r>
    </w:p>
    <w:p w14:paraId="57C5FF5E" w14:textId="77777777" w:rsidR="00000DC4" w:rsidRPr="00352C77" w:rsidRDefault="00000DC4" w:rsidP="00A623D5">
      <w:pPr>
        <w:spacing w:after="160" w:line="360" w:lineRule="auto"/>
        <w:jc w:val="both"/>
        <w:rPr>
          <w:rFonts w:ascii="Times New Roman" w:hAnsi="Times New Roman" w:cs="Times New Roman"/>
        </w:rPr>
      </w:pPr>
      <w:r>
        <w:rPr>
          <w:rFonts w:ascii="Times New Roman" w:hAnsi="Times New Roman" w:cs="Times New Roman"/>
        </w:rPr>
        <w:t>The framework is guided by the study’s central question: how do the spatial distribution, temporal trends and seasonal dynamics of aquatic weed cover on Lake Wamala vary, and how effectively can the Normalized Difference Vegetation Index (NDVI) and the Normalized Difference Water Index (NDWI), derived from Sentinel-2 imagery, detect and map this variation?</w:t>
      </w:r>
    </w:p>
    <w:p w14:paraId="61E298C1" w14:textId="77777777" w:rsidR="00000DC4" w:rsidRPr="00352C77" w:rsidRDefault="00000DC4" w:rsidP="00A623D5">
      <w:pPr>
        <w:spacing w:after="160" w:line="360" w:lineRule="auto"/>
        <w:jc w:val="both"/>
        <w:rPr>
          <w:rFonts w:ascii="Times New Roman" w:hAnsi="Times New Roman" w:cs="Times New Roman"/>
        </w:rPr>
      </w:pPr>
      <w:r>
        <w:rPr>
          <w:rFonts w:ascii="Times New Roman" w:hAnsi="Times New Roman" w:cs="Times New Roman"/>
          <w:b/>
        </w:rPr>
        <w:lastRenderedPageBreak/>
        <w:t xml:space="preserve">Independent variables (the expected causes). </w:t>
      </w:r>
      <w:r>
        <w:rPr>
          <w:rFonts w:ascii="Times New Roman" w:hAnsi="Times New Roman" w:cs="Times New Roman"/>
        </w:rPr>
        <w:t>The proliferation of aquatic weeds is expected to be driven by a set of environmental and spatial factors: nutrient enrichment from agricultural runoff (chiefly nitrogen and phosphorus), shallow bathymetry and water depth, hydrodynamic shelter in bays and near river inflows, and the spatial context of the pixel as defined by its region and ecological zone. These conditions are expected to favour the growth and spread of macrophytes such as water hyacinth, papyrus and water lettuce.</w:t>
      </w:r>
    </w:p>
    <w:p w14:paraId="4D0B1BA0" w14:textId="77777777" w:rsidR="00000DC4" w:rsidRPr="00352C77" w:rsidRDefault="00000DC4" w:rsidP="00A623D5">
      <w:pPr>
        <w:spacing w:after="160" w:line="360" w:lineRule="auto"/>
        <w:jc w:val="both"/>
        <w:rPr>
          <w:rFonts w:ascii="Times New Roman" w:hAnsi="Times New Roman" w:cs="Times New Roman"/>
        </w:rPr>
      </w:pPr>
      <w:r>
        <w:rPr>
          <w:rFonts w:ascii="Times New Roman" w:hAnsi="Times New Roman" w:cs="Times New Roman"/>
          <w:b/>
        </w:rPr>
        <w:t xml:space="preserve">Dependent variables (the measured effect). </w:t>
      </w:r>
      <w:r>
        <w:rPr>
          <w:rFonts w:ascii="Times New Roman" w:hAnsi="Times New Roman" w:cs="Times New Roman"/>
        </w:rPr>
        <w:t>Aquatic weed cover is not observed directly but is operationalised through two continuous spectral indices measured from Sentinel-2 imagery: NDVI, which responds to vegetation density, and NDWI, which responds to open water. Together these indices constitute the measured outcome of the study and feed into the weed-cover classification and the spatial–temporal hotspot mapping that form the study’s final output.</w:t>
      </w:r>
    </w:p>
    <w:p w14:paraId="3E2F981A" w14:textId="77777777" w:rsidR="00B425B3" w:rsidRPr="00352C77" w:rsidRDefault="00000DC4" w:rsidP="00A623D5">
      <w:pPr>
        <w:keepNext/>
        <w:spacing w:before="80" w:after="60" w:line="360" w:lineRule="auto"/>
        <w:jc w:val="center"/>
        <w:rPr>
          <w:rFonts w:ascii="Times New Roman" w:hAnsi="Times New Roman" w:cs="Times New Roman"/>
        </w:rPr>
      </w:pPr>
      <w:r>
        <w:rPr>
          <w:rFonts w:ascii="Times New Roman" w:hAnsi="Times New Roman" w:cs="Times New Roman"/>
          <w:noProof/>
        </w:rPr>
        <w:drawing>
          <wp:inline distT="0" distB="0" distL="0" distR="0" wp14:anchorId="42B034D8" wp14:editId="7CE8170F">
            <wp:extent cx="5760720" cy="4012620"/>
            <wp:effectExtent l="0" t="0" r="0" b="0"/>
            <wp:docPr id="1501" name="Figure 1 Conceptual framework" descr="Conceptual framework of the study" title="Figure 1 Conceptual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5760720" cy="4012620"/>
                    </a:xfrm>
                    <a:prstGeom prst="rect">
                      <a:avLst/>
                    </a:prstGeom>
                  </pic:spPr>
                </pic:pic>
              </a:graphicData>
            </a:graphic>
          </wp:inline>
        </w:drawing>
      </w:r>
    </w:p>
    <w:p w14:paraId="42EAE228" w14:textId="19EB630C" w:rsidR="00000DC4" w:rsidRPr="00352C77" w:rsidRDefault="00B425B3" w:rsidP="00A623D5">
      <w:pPr>
        <w:pStyle w:val="Caption"/>
        <w:spacing w:line="360" w:lineRule="auto"/>
        <w:jc w:val="center"/>
        <w:rPr>
          <w:rFonts w:ascii="Times New Roman" w:hAnsi="Times New Roman" w:cs="Times New Roman"/>
        </w:rPr>
      </w:pPr>
      <w:bookmarkStart w:id="20" w:name="_Toc237884362"/>
      <w:r>
        <w:rPr>
          <w:rFonts w:ascii="Times New Roman" w:hAnsi="Times New Roman" w:cs="Times New Roman"/>
        </w:rPr>
        <w:t xml:space="preserve">Figure </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402E51">
        <w:rPr>
          <w:rFonts w:ascii="Times New Roman" w:hAnsi="Times New Roman" w:cs="Times New Roman"/>
          <w:noProof/>
        </w:rPr>
        <w:t>1</w:t>
      </w:r>
      <w:r>
        <w:rPr>
          <w:rFonts w:ascii="Times New Roman" w:hAnsi="Times New Roman" w:cs="Times New Roman"/>
          <w:noProof/>
        </w:rPr>
        <w:fldChar w:fldCharType="end"/>
      </w:r>
      <w:r>
        <w:rPr>
          <w:rFonts w:ascii="Times New Roman" w:hAnsi="Times New Roman" w:cs="Times New Roman"/>
        </w:rPr>
        <w:t>: Conceptual framework of the study, linking the environmental drivers of aquatic weed proliferation on Lake Wamala to the NDVI and NDWI indices used to detect and map it</w:t>
      </w:r>
      <w:bookmarkEnd w:id="20"/>
    </w:p>
    <w:p w14:paraId="47F2E1A9" w14:textId="77777777" w:rsidR="00000DC4" w:rsidRPr="00352C77" w:rsidRDefault="00000DC4" w:rsidP="00A623D5">
      <w:pPr>
        <w:spacing w:after="160" w:line="360" w:lineRule="auto"/>
        <w:jc w:val="both"/>
        <w:rPr>
          <w:rFonts w:ascii="Times New Roman" w:hAnsi="Times New Roman" w:cs="Times New Roman"/>
        </w:rPr>
      </w:pPr>
      <w:r>
        <w:rPr>
          <w:rFonts w:ascii="Times New Roman" w:hAnsi="Times New Roman" w:cs="Times New Roman"/>
          <w:b/>
        </w:rPr>
        <w:t xml:space="preserve">The expected cause-and-effect relationship. </w:t>
      </w:r>
      <w:r>
        <w:rPr>
          <w:rFonts w:ascii="Times New Roman" w:hAnsi="Times New Roman" w:cs="Times New Roman"/>
        </w:rPr>
        <w:t xml:space="preserve">As shown in Figure 1, the independent variables are expected to promote aquatic weed proliferation, which in turn produces a distinctive spectral </w:t>
      </w:r>
      <w:r>
        <w:rPr>
          <w:rFonts w:ascii="Times New Roman" w:hAnsi="Times New Roman" w:cs="Times New Roman"/>
        </w:rPr>
        <w:lastRenderedPageBreak/>
        <w:t>response: dense vegetation raises NDVI and lowers NDWI, whereas open water does the reverse. The study therefore reads the spectral indices as an indirect but reliable measure of weed cover, and uses them to locate where infestation is concentrated, how it has changed across the years 2017, 2022 and 2025, and how it varies from month to month. Aquatic weed proliferation thus acts as the mediating phenomenon that links the environmental drivers to the measured indices.</w:t>
      </w:r>
    </w:p>
    <w:p w14:paraId="4BC7F506" w14:textId="77777777" w:rsidR="00000DC4" w:rsidRPr="00352C77" w:rsidRDefault="00000DC4" w:rsidP="00A623D5">
      <w:pPr>
        <w:spacing w:after="160" w:line="360" w:lineRule="auto"/>
        <w:jc w:val="both"/>
        <w:rPr>
          <w:rFonts w:ascii="Times New Roman" w:hAnsi="Times New Roman" w:cs="Times New Roman"/>
        </w:rPr>
      </w:pPr>
      <w:r>
        <w:rPr>
          <w:rFonts w:ascii="Times New Roman" w:hAnsi="Times New Roman" w:cs="Times New Roman"/>
          <w:b/>
        </w:rPr>
        <w:t xml:space="preserve">Moderating variables. </w:t>
      </w:r>
      <w:r>
        <w:rPr>
          <w:rFonts w:ascii="Times New Roman" w:hAnsi="Times New Roman" w:cs="Times New Roman"/>
        </w:rPr>
        <w:t>Two factors are expected to alter the strength of the relationship between the drivers and the observed weed cover over time. Climate variability, in particular the La Niña-driven rainfall and record-high lake levels of 2020–2023, can submerge vegetation and raise turbidity, weakening the spectral signal; and seasonality, expressed as the contrast between dry and wet months, shifts water level, turbidity and plant growth. These moderators explain why the same drivers may yield different index values in different years and months.</w:t>
      </w:r>
    </w:p>
    <w:p w14:paraId="510FBED8" w14:textId="77777777" w:rsidR="00000DC4" w:rsidRPr="00352C77" w:rsidRDefault="00000DC4" w:rsidP="00A623D5">
      <w:pPr>
        <w:spacing w:after="160" w:line="360" w:lineRule="auto"/>
        <w:jc w:val="both"/>
        <w:rPr>
          <w:rFonts w:ascii="Times New Roman" w:hAnsi="Times New Roman" w:cs="Times New Roman"/>
        </w:rPr>
      </w:pPr>
      <w:r>
        <w:rPr>
          <w:rFonts w:ascii="Times New Roman" w:hAnsi="Times New Roman" w:cs="Times New Roman"/>
          <w:b/>
        </w:rPr>
        <w:t xml:space="preserve">Control variables. </w:t>
      </w:r>
      <w:r>
        <w:rPr>
          <w:rFonts w:ascii="Times New Roman" w:hAnsi="Times New Roman" w:cs="Times New Roman"/>
        </w:rPr>
        <w:t>Several factors that could otherwise distort the indices were held constant so that they would not interfere with the results: cloud cover was minimised through a strict five-percent filter and QA60 masking, all imagery was atmospherically corrected to the Sentinel-2 Level-2A bottom-of-atmosphere product, and a fixed set of NDVI thresholds was applied when classifying weed cover. Holding these constant isolates the relationships of interest from avoidable measurement noise.</w:t>
      </w:r>
    </w:p>
    <w:p w14:paraId="6419523D" w14:textId="77777777" w:rsidR="00000DC4" w:rsidRPr="00352C77" w:rsidRDefault="00000DC4" w:rsidP="00A623D5">
      <w:pPr>
        <w:pStyle w:val="ListParagraph"/>
        <w:spacing w:after="80" w:line="360" w:lineRule="auto"/>
        <w:ind w:left="720"/>
        <w:jc w:val="both"/>
        <w:rPr>
          <w:rFonts w:ascii="Times New Roman" w:hAnsi="Times New Roman" w:cs="Times New Roman"/>
        </w:rPr>
      </w:pPr>
    </w:p>
    <w:p w14:paraId="3A74CBF9" w14:textId="77777777" w:rsidR="00000DC4" w:rsidRPr="00352C77" w:rsidRDefault="00000DC4" w:rsidP="00A623D5">
      <w:pPr>
        <w:pStyle w:val="Heading2"/>
        <w:spacing w:line="360" w:lineRule="auto"/>
        <w:rPr>
          <w:rFonts w:ascii="Times New Roman" w:hAnsi="Times New Roman" w:cs="Times New Roman"/>
        </w:rPr>
      </w:pPr>
      <w:bookmarkStart w:id="21" w:name="_Toc900000190"/>
      <w:bookmarkStart w:id="22" w:name="_Toc237884274"/>
      <w:r>
        <w:rPr>
          <w:rFonts w:ascii="Times New Roman" w:hAnsi="Times New Roman" w:cs="Times New Roman"/>
        </w:rPr>
        <w:t>1.9 Organisation of the Report</w:t>
      </w:r>
      <w:bookmarkEnd w:id="21"/>
      <w:bookmarkEnd w:id="22"/>
    </w:p>
    <w:p w14:paraId="2DC1D2D2"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This report is organised into five chapters. Chapter One introduces the study by presenting the background to the problem, the statement of the problem, the general and specific objectives, the research questions, the significance and scope of the study, its limitations and the conceptual framework that guides it. Chapter Two reviews the relevant literature, examining the nature and drivers of aquatic weed proliferation, the theoretical basis of the Normalized Difference Vegetation Index (NDVI) and related spectral indices, their application in aquatic environments, and the research gap that this study addresses. Chapter Three describes the materials and methods, including the study area and its basin, the research design, the data source and acquisition, the sampling design, the computation of the spectral indices, the weed-cover classification, the study variables, the methods of data analysis, and the reliability, validity, methodological limitations and </w:t>
      </w:r>
      <w:r>
        <w:rPr>
          <w:rFonts w:ascii="Times New Roman" w:hAnsi="Times New Roman" w:cs="Times New Roman"/>
        </w:rPr>
        <w:lastRenderedPageBreak/>
        <w:t>ethical considerations of the study. Chapter Four presents and discusses the results, reporting the general dataset characteristics, the spatial distribution of weed cover by zone type, regional variation, temporal trends across 2017, 2022 and 2025, seasonal patterns, the weed-cover classification and mapping, and the relationship between NDVI and NDWI, together with the formal tests of the study's five hypotheses. Chapter Five concludes the report by summarising the study, drawing conclusions in relation to the research objectives, and offering recommendations for water-weed management, future research and policy, followed by concluding remarks.</w:t>
      </w:r>
    </w:p>
    <w:p w14:paraId="7FC18113" w14:textId="77777777" w:rsidR="00CF0628" w:rsidRPr="00352C77" w:rsidRDefault="00CF0628" w:rsidP="00A623D5">
      <w:pPr>
        <w:pStyle w:val="Heading1"/>
        <w:pageBreakBefore/>
        <w:spacing w:line="360" w:lineRule="auto"/>
        <w:ind w:left="720"/>
        <w:rPr>
          <w:rFonts w:ascii="Times New Roman" w:hAnsi="Times New Roman" w:cs="Times New Roman"/>
        </w:rPr>
      </w:pPr>
      <w:bookmarkStart w:id="23" w:name="_Toc234133561"/>
      <w:bookmarkStart w:id="24" w:name="_Toc237884275"/>
      <w:r>
        <w:rPr>
          <w:rFonts w:ascii="Times New Roman" w:hAnsi="Times New Roman" w:cs="Times New Roman"/>
        </w:rPr>
        <w:lastRenderedPageBreak/>
        <w:t>CHAPTER TWO: LITERATURE REVIEW</w:t>
      </w:r>
      <w:bookmarkEnd w:id="23"/>
      <w:bookmarkEnd w:id="24"/>
    </w:p>
    <w:p w14:paraId="3D81BE59" w14:textId="77777777" w:rsidR="00CF0628" w:rsidRPr="00352C77" w:rsidRDefault="00CF0628" w:rsidP="00A623D5">
      <w:pPr>
        <w:pStyle w:val="Heading2"/>
        <w:spacing w:line="360" w:lineRule="auto"/>
        <w:ind w:left="720"/>
        <w:rPr>
          <w:rFonts w:ascii="Times New Roman" w:hAnsi="Times New Roman" w:cs="Times New Roman"/>
        </w:rPr>
      </w:pPr>
      <w:bookmarkStart w:id="25" w:name="_Toc234133562"/>
      <w:bookmarkStart w:id="26" w:name="_Toc237884276"/>
      <w:r>
        <w:rPr>
          <w:rFonts w:ascii="Times New Roman" w:hAnsi="Times New Roman" w:cs="Times New Roman"/>
        </w:rPr>
        <w:t>2.1 Introduction</w:t>
      </w:r>
      <w:bookmarkEnd w:id="25"/>
      <w:bookmarkEnd w:id="26"/>
    </w:p>
    <w:p w14:paraId="35702D55" w14:textId="77777777" w:rsidR="00CF0628" w:rsidRPr="00352C77" w:rsidRDefault="00CF0628" w:rsidP="00A623D5">
      <w:pPr>
        <w:pStyle w:val="ListParagraph"/>
        <w:spacing w:after="160" w:line="360" w:lineRule="auto"/>
        <w:ind w:left="720"/>
        <w:jc w:val="both"/>
        <w:rPr>
          <w:rFonts w:ascii="Times New Roman" w:hAnsi="Times New Roman" w:cs="Times New Roman"/>
        </w:rPr>
      </w:pPr>
      <w:r>
        <w:rPr>
          <w:rFonts w:ascii="Times New Roman" w:hAnsi="Times New Roman" w:cs="Times New Roman"/>
        </w:rPr>
        <w:t>This chapter surveys the scholarly literature that underpins the present study, which uses the Normalized Difference Vegetation Index (NDVI) together with the Normalized Difference Water Index (NDWI) to assess the spatial distribution, temporal trends and seasonal dynamics of aquatic weed cover on Lake Wamala. In line with good practice for a literature review, the chapter does not merely list previous studies; it summarises and synthesises what is known, critically evaluates the strengths and weaknesses of existing approaches, and identifies the specific gap that this research addresses. The review is organised thematically, moving from the theoretical foundation of vegetation indices, through the wider family of spectral indices used in water monitoring and their application in aquatic environments, to the known limitations of these methods and, finally, to a synthesis that isolates the research gap.</w:t>
      </w:r>
    </w:p>
    <w:p w14:paraId="2B87D6EB" w14:textId="77777777" w:rsidR="00CF0628" w:rsidRPr="00352C77" w:rsidRDefault="00CF0628" w:rsidP="00A623D5">
      <w:pPr>
        <w:pStyle w:val="Heading3"/>
        <w:spacing w:line="360" w:lineRule="auto"/>
        <w:ind w:left="720"/>
        <w:rPr>
          <w:rFonts w:ascii="Times New Roman" w:hAnsi="Times New Roman" w:cs="Times New Roman"/>
        </w:rPr>
      </w:pPr>
      <w:bookmarkStart w:id="27" w:name="_Toc234133563"/>
      <w:bookmarkStart w:id="28" w:name="_Toc237884277"/>
      <w:r>
        <w:rPr>
          <w:rFonts w:ascii="Times New Roman" w:hAnsi="Times New Roman" w:cs="Times New Roman"/>
        </w:rPr>
        <w:t>2.1.1 Background to the Problem of Aquatic Weed Proliferation</w:t>
      </w:r>
      <w:bookmarkEnd w:id="27"/>
      <w:bookmarkEnd w:id="28"/>
    </w:p>
    <w:p w14:paraId="154CC253" w14:textId="77777777" w:rsidR="00CF0628" w:rsidRPr="00352C77" w:rsidRDefault="00CF0628" w:rsidP="00A623D5">
      <w:pPr>
        <w:pStyle w:val="ListParagraph"/>
        <w:spacing w:after="160" w:line="360" w:lineRule="auto"/>
        <w:ind w:left="720"/>
        <w:jc w:val="both"/>
        <w:rPr>
          <w:rFonts w:ascii="Times New Roman" w:hAnsi="Times New Roman" w:cs="Times New Roman"/>
        </w:rPr>
      </w:pPr>
      <w:r>
        <w:rPr>
          <w:rFonts w:ascii="Times New Roman" w:hAnsi="Times New Roman" w:cs="Times New Roman"/>
        </w:rPr>
        <w:t>Aquatic weed infestation has become one of the most persistent threats to the ecological integrity and socio-economic value of shallow tropical lakes in East Africa. Invasive and nuisance macrophytes such as water hyacinth (</w:t>
      </w:r>
      <w:r>
        <w:rPr>
          <w:rFonts w:ascii="Times New Roman" w:hAnsi="Times New Roman" w:cs="Times New Roman"/>
          <w:i/>
        </w:rPr>
        <w:t>Eichhornia crassipes</w:t>
      </w:r>
      <w:r>
        <w:rPr>
          <w:rFonts w:ascii="Times New Roman" w:hAnsi="Times New Roman" w:cs="Times New Roman"/>
        </w:rPr>
        <w:t>), water lettuce (</w:t>
      </w:r>
      <w:proofErr w:type="spellStart"/>
      <w:r>
        <w:rPr>
          <w:rFonts w:ascii="Times New Roman" w:hAnsi="Times New Roman" w:cs="Times New Roman"/>
          <w:i/>
        </w:rPr>
        <w:t>Pistia</w:t>
      </w:r>
      <w:proofErr w:type="spellEnd"/>
      <w:r>
        <w:rPr>
          <w:rFonts w:ascii="Times New Roman" w:hAnsi="Times New Roman" w:cs="Times New Roman"/>
          <w:i/>
        </w:rPr>
        <w:t xml:space="preserve"> stratiotes</w:t>
      </w:r>
      <w:r>
        <w:rPr>
          <w:rFonts w:ascii="Times New Roman" w:hAnsi="Times New Roman" w:cs="Times New Roman"/>
        </w:rPr>
        <w:t xml:space="preserve">) and </w:t>
      </w:r>
      <w:r>
        <w:rPr>
          <w:rFonts w:ascii="Times New Roman" w:hAnsi="Times New Roman" w:cs="Times New Roman"/>
          <w:i/>
        </w:rPr>
        <w:t>Salvinia molesta</w:t>
      </w:r>
      <w:r>
        <w:rPr>
          <w:rFonts w:ascii="Times New Roman" w:hAnsi="Times New Roman" w:cs="Times New Roman"/>
        </w:rPr>
        <w:t xml:space="preserve">, together with dense beds of papyrus and other emergent vegetation, can choke navigation channels, deplete dissolved oxygen, shade out submerged communities, reduce fish catches, impede water abstraction and create breeding habitats for disease vectors </w:t>
      </w:r>
      <w:r>
        <w:rPr>
          <w:rFonts w:ascii="Times New Roman" w:hAnsi="Times New Roman" w:cs="Times New Roman"/>
          <w:bCs/>
        </w:rPr>
        <w:fldChar w:fldCharType="begin" w:fldLock="1"/>
      </w:r>
      <w:r>
        <w:rPr>
          <w:rFonts w:ascii="Times New Roman" w:hAnsi="Times New Roman" w:cs="Times New Roman"/>
          <w:bCs/>
        </w:rPr>
        <w:instrText>ADDIN CSL_CITATION {"citationItems":[{"id":"ITEM-1","itemData":{"abstract":"The nuisance macrophyte, water hyacinth, is an alien aquatic weed that was first reported on the Ugandan portion of Lake Victoria in 1989. Since that time, water hyacinth spread rapidly and by 1995, it had colonised much of the lake's shoreline. Lake wide surveys were conducted with the objective of collecting data on environmental factors influencing hyacinth proliferation, in addition to impacts of its infestation on the ecological, social and economic aspects of the environment. The data was collected before, during and after the peak infestation. The nutrient-rich environment contributed significantly to the weed's rapid proliferation, and was enhanced by shelter from offshore winds. Additionally, waves and water currents dispersed viable propagates to several destinations and got established across the lake. Both the stationary and mobile mats imposed varying magnitudes of impacts on the ecological, social and economic aspects of the lake environment. Water hyacinth infestation impaired fishing, breeding and nursery grounds, impaired fishing and transport activities, in addition to negatively impairing various business enterprises at the lakeshores. The overwhelming negative impacts led to declaration of water hyacinth as an environmental pest hence all efforts were aimed at controlling it. Biological control was applied on a large scale, while manual and mechanical extraction of the weeds was effected at strategic locations. By 1999, water hyacinth had been brought under control (by more than 80 %) in most bays of the lake, but infestations in riverine environments remain untackled despite the concerted efforts. The well-established biological control agents continue to suppress any resurgence of the weed hence proliferation is unlikely to attain the magnitude recorded in 1998. The problem of other potential aquatic weeds (e.g. Naja horrida and Trappa natans) however, pose challenges to management especially of the littoral water quality and fisheries in Uganda's aquatic systems and need redress before they attain alarming magnitudes. Additionally, management of nutrient loading into aquatic systems ought to be an integral part of every effort to manage aquatic weeds since nutrients are critical environmental factors in influencing proliferation.","author":[{"dropping-particle":"","family":"Balirwa","given":"J S","non-dropping-particle":"","parse-names":false,"suffix":""},{"dropping-particle":"","family":"Wanda","given":"*","non-dropping-particle":"","parse-names":false,"suffix":""}],"id":"ITEM-1","issued":{"date-parts":[["0"]]},"title":"Water Quality and Quantity Synthesis Final Report, LVEMP December 2005 Water Quality and Ecosystems Management Component Impacts of water quality change on beneficial uses of Lake Victoria, Uganda","type":"report"},"uris":["http://www.mendeley.com/documents/?uuid=b55d54d5-da79-3345-accd-dac65a80c566"]}],"mendeley":{"formattedCitation":"(Balirwa &amp; Wanda, n.d.)","manualFormatting":"(Balirwa &amp; Wanda, n.d.","plainTextFormattedCitation":"(Balirwa &amp; Wanda, n.d.)","previouslyFormattedCitation":"(Balirwa &amp; Wanda, n.d.)"},"properties":{"noteIndex":0},"schema":"https://github.com/citation-style-language/schema/raw/master/csl-citation.json"}</w:instrText>
      </w:r>
      <w:r>
        <w:rPr>
          <w:rFonts w:ascii="Times New Roman" w:hAnsi="Times New Roman" w:cs="Times New Roman"/>
          <w:bCs/>
        </w:rPr>
        <w:fldChar w:fldCharType="separate"/>
      </w:r>
      <w:r>
        <w:rPr>
          <w:rFonts w:ascii="Times New Roman" w:hAnsi="Times New Roman" w:cs="Times New Roman"/>
          <w:bCs/>
          <w:noProof/>
        </w:rPr>
        <w:t>(Balirwa &amp; Wanda, n.d.</w:t>
      </w:r>
      <w:r>
        <w:rPr>
          <w:rFonts w:ascii="Times New Roman" w:hAnsi="Times New Roman" w:cs="Times New Roman"/>
          <w:bCs/>
        </w:rPr>
        <w:fldChar w:fldCharType="end"/>
      </w:r>
      <w:r>
        <w:rPr>
          <w:rFonts w:ascii="Times New Roman" w:hAnsi="Times New Roman" w:cs="Times New Roman"/>
          <w:bCs/>
        </w:rPr>
        <w:t xml:space="preserve">; </w:t>
      </w:r>
      <w:r>
        <w:rPr>
          <w:rFonts w:ascii="Times New Roman" w:hAnsi="Times New Roman" w:cs="Times New Roman"/>
          <w:bCs/>
        </w:rPr>
        <w:fldChar w:fldCharType="begin" w:fldLock="1"/>
      </w:r>
      <w:r>
        <w:rPr>
          <w:rFonts w:ascii="Times New Roman" w:hAnsi="Times New Roman" w:cs="Times New Roman"/>
          <w:bCs/>
        </w:rPr>
        <w:instrText>ADDIN CSL_CITATION {"citationItems":[{"id":"ITEM-1","itemData":{"ISSN":"01466623","abstract":"Water hyacinth (Eichhornia crassipes (Mart.) Solms) is an invasive aquatic macrophyte associated with major negative economic and ecological impacts to the Lake Victoria region since the plant's establishment in Uganda in the 1980s. Reliable estimates of water hyacinth distribution and extent are required to gauge the severity of the problem through time, relate water hyacinth abundance to environmental factors, identify areas requiring management action, and assess the efficacy of management actions. To provide such estimates and demonstrate the utility of remote sensing for this application, we processed and analyzed remotely sensed imagery to determine the distribution and extent of water hyacinth. Maps were produced and coverage was quantified using a hybrid unsupervised image classification approach with manual editing for each of the riparian countries of Kenya, Tanzania, and Uganda, as well as for numerous gulfs and bays. A similar procedure was carried out for selected lakes in the Rwanda-Tanzania borderlands lakes region in the Kagera River basin. Results confirm the severity of the water hyacinth infestation, especially in the northern parts of the lake. A maximum lake-wide extent of at least 17,374 ha was attained in 1998. Following this, a combination of factors, including conditions associated with the 1997 to 1998 El Niño and biocontrol with water hyacinth weevils, appear to have contributed to a major decline in water hyacinth in the most affected parts of the lake. Some lakes in the Kagera basin, such as Lake Mihindi, Rwanda, were severely infested in the late 1990s, but the level of infestation in most of these decreased markedly by the early 2000s.","author":[{"dropping-particle":"","family":"Albright","given":"Thomas P.","non-dropping-particle":"","parse-names":false,"suffix":""},{"dropping-particle":"","family":"Moorhouse","given":"T. G.","non-dropping-particle":"","parse-names":false,"suffix":""},{"dropping-particle":"","family":"McNabb","given":"T. J.","non-dropping-particle":"","parse-names":false,"suffix":""}],"container-title":"Journal of Aquatic Plant Management","id":"ITEM-1","issue":"JUL.","issued":{"date-parts":[["2004"]]},"page":"73-84","title":"The rise and fall of water hyacinth in Lake Victoria and the Kagera River basin, 1989-2001","type":"article-journal","volume":"42"},"uris":["http://www.mendeley.com/documents/?uuid=22020857-a73a-4fac-8a52-9923707cdf91"]}],"mendeley":{"formattedCitation":"(Albright et al., 2004)","manualFormatting":"Albright et al., 2004)","plainTextFormattedCitation":"(Albright et al., 2004)","previouslyFormattedCitation":"(Albright et al., 2004)"},"properties":{"noteIndex":0},"schema":"https://github.com/citation-style-language/schema/raw/master/csl-citation.json"}</w:instrText>
      </w:r>
      <w:r>
        <w:rPr>
          <w:rFonts w:ascii="Times New Roman" w:hAnsi="Times New Roman" w:cs="Times New Roman"/>
          <w:bCs/>
        </w:rPr>
        <w:fldChar w:fldCharType="separate"/>
      </w:r>
      <w:r>
        <w:rPr>
          <w:rFonts w:ascii="Times New Roman" w:hAnsi="Times New Roman" w:cs="Times New Roman"/>
          <w:bCs/>
          <w:noProof/>
        </w:rPr>
        <w:t>Albright et al., 2004)</w:t>
      </w:r>
      <w:r>
        <w:rPr>
          <w:rFonts w:ascii="Times New Roman" w:hAnsi="Times New Roman" w:cs="Times New Roman"/>
          <w:bCs/>
        </w:rPr>
        <w:fldChar w:fldCharType="end"/>
      </w:r>
      <w:r>
        <w:rPr>
          <w:rFonts w:ascii="Times New Roman" w:hAnsi="Times New Roman" w:cs="Times New Roman"/>
        </w:rPr>
        <w:t xml:space="preserve">. In the Lake Victoria basin, the explosive spread of water hyacinth during the 1990s demonstrated how rapidly a single species can transform a lake ecosystem and disrupt the livelihoods that depend on it </w:t>
      </w:r>
      <w:r>
        <w:rPr>
          <w:rFonts w:ascii="Times New Roman" w:hAnsi="Times New Roman" w:cs="Times New Roman"/>
          <w:bCs/>
        </w:rPr>
        <w:fldChar w:fldCharType="begin" w:fldLock="1"/>
      </w:r>
      <w:r>
        <w:rPr>
          <w:rFonts w:ascii="Times New Roman" w:hAnsi="Times New Roman" w:cs="Times New Roman"/>
          <w:bCs/>
        </w:rPr>
        <w:instrText>ADDIN CSL_CITATION {"citationItems":[{"id":"ITEM-1","itemData":{"ISSN":"01466623","abstract":"Water hyacinth (Eichhornia crassipes (Mart.) Solms) is an invasive aquatic macrophyte associated with major negative economic and ecological impacts to the Lake Victoria region since the plant's establishment in Uganda in the 1980s. Reliable estimates of water hyacinth distribution and extent are required to gauge the severity of the problem through time, relate water hyacinth abundance to environmental factors, identify areas requiring management action, and assess the efficacy of management actions. To provide such estimates and demonstrate the utility of remote sensing for this application, we processed and analyzed remotely sensed imagery to determine the distribution and extent of water hyacinth. Maps were produced and coverage was quantified using a hybrid unsupervised image classification approach with manual editing for each of the riparian countries of Kenya, Tanzania, and Uganda, as well as for numerous gulfs and bays. A similar procedure was carried out for selected lakes in the Rwanda-Tanzania borderlands lakes region in the Kagera River basin. Results confirm the severity of the water hyacinth infestation, especially in the northern parts of the lake. A maximum lake-wide extent of at least 17,374 ha was attained in 1998. Following this, a combination of factors, including conditions associated with the 1997 to 1998 El Niño and biocontrol with water hyacinth weevils, appear to have contributed to a major decline in water hyacinth in the most affected parts of the lake. Some lakes in the Kagera basin, such as Lake Mihindi, Rwanda, were severely infested in the late 1990s, but the level of infestation in most of these decreased markedly by the early 2000s.","author":[{"dropping-particle":"","family":"Albright","given":"Thomas P.","non-dropping-particle":"","parse-names":false,"suffix":""},{"dropping-particle":"","family":"Moorhouse","given":"T. G.","non-dropping-particle":"","parse-names":false,"suffix":""},{"dropping-particle":"","family":"McNabb","given":"T. J.","non-dropping-particle":"","parse-names":false,"suffix":""}],"container-title":"Journal of Aquatic Plant Management","id":"ITEM-1","issue":"JUL.","issued":{"date-parts":[["2004"]]},"page":"73-84","title":"The rise and fall of water hyacinth in Lake Victoria and the Kagera River basin, 1989-2001","type":"article-journal","volume":"42"},"uris":["http://www.mendeley.com/documents/?uuid=22020857-a73a-4fac-8a52-9923707cdf91"]}],"mendeley":{"formattedCitation":"(Albright et al., 2004)","plainTextFormattedCitation":"(Albright et al., 2004)","previouslyFormattedCitation":"(Albright et al., 2004)"},"properties":{"noteIndex":0},"schema":"https://github.com/citation-style-language/schema/raw/master/csl-citation.json"}</w:instrText>
      </w:r>
      <w:r>
        <w:rPr>
          <w:rFonts w:ascii="Times New Roman" w:hAnsi="Times New Roman" w:cs="Times New Roman"/>
          <w:bCs/>
        </w:rPr>
        <w:fldChar w:fldCharType="separate"/>
      </w:r>
      <w:r>
        <w:rPr>
          <w:rFonts w:ascii="Times New Roman" w:hAnsi="Times New Roman" w:cs="Times New Roman"/>
          <w:bCs/>
          <w:noProof/>
        </w:rPr>
        <w:t xml:space="preserve">(Albright et al., 2004; </w:t>
      </w:r>
      <w:r>
        <w:rPr>
          <w:rFonts w:ascii="Times New Roman" w:hAnsi="Times New Roman" w:cs="Times New Roman"/>
          <w:bCs/>
        </w:rPr>
        <w:fldChar w:fldCharType="end"/>
      </w:r>
      <w:r>
        <w:rPr>
          <w:rFonts w:ascii="Times New Roman" w:hAnsi="Times New Roman" w:cs="Times New Roman"/>
          <w:bCs/>
        </w:rPr>
        <w:fldChar w:fldCharType="begin" w:fldLock="1"/>
      </w:r>
      <w:r>
        <w:rPr>
          <w:rFonts w:ascii="Times New Roman" w:hAnsi="Times New Roman" w:cs="Times New Roman"/>
          <w:bCs/>
        </w:rPr>
        <w:instrText>ADDIN CSL_CITATION {"citationItems":[{"id":"ITEM-1","itemData":{"DOI":"10.1100/2012/106429","ISSN":"1537744X","PMID":"22619574","abstract":"This study, conducted in Nyanza Gulf of Lake Victoria, assessed ecological succession and dynamic status of water hyacinth. Results show that water hyacinth is the genesis of macrophyte succession. On establishment, water hyacinth mats are first invaded by native emergent macrophytes, Ipomoea aquatica Forsk., and Enydra fluctuans Lour., during early stages of succession. This is followed by hippo grass Vossia cuspidata (Roxb.) Griff. in mid- and late stages whose population peaks during climax stages of succession with concomitant decrease in water hyacinth biomass. Hippo grass depends on water hyacinth for buoyancy, anchorage, and nutrients. The study concludes that macrophyte succession alters aquatic biodiversity and that, since water hyacinth infestation and attendant succession are a symptom of broader watershed management and pollution problems, aquatic macrophyte control should include reduction of nutrient loads and implementing multifaceted approach that incorporates biological agents, mechanical/manual control with utilization of harvested weed for cottage industry by local communities. Copyright 2012 John Gichuki et al.","author":[{"dropping-particle":"","family":"Gichuki","given":"John","non-dropping-particle":"","parse-names":false,"suffix":""},{"dropping-particle":"","family":"Omondi","given":"Reuben","non-dropping-particle":"","parse-names":false,"suffix":""},{"dropping-particle":"","family":"Boera","given":"Priscillar","non-dropping-particle":"","parse-names":false,"suffix":""},{"dropping-particle":"","family":"Okorut","given":"Tom","non-dropping-particle":"","parse-names":false,"suffix":""},{"dropping-particle":"","family":"Matano","given":"Ally Said","non-dropping-particle":"","parse-names":false,"suffix":""},{"dropping-particle":"","family":"Jembe","given":"Tsuma","non-dropping-particle":"","parse-names":false,"suffix":""},{"dropping-particle":"","family":"Ofulla","given":"Ayub","non-dropping-particle":"","parse-names":false,"suffix":""}],"container-title":"The Scientific World Journal","id":"ITEM-1","issued":{"date-parts":[["2012"]]},"title":"Water hyacinth eichhornia crassipes (Mart.) solms-laubach dynamics and succession in the nyanza gulf of Lake Victoria (East Africa): Implications for water quality and biodiversity conservation","type":"article-journal","volume":"2012"},"uris":["http://www.mendeley.com/documents/?uuid=4ebf135e-3141-4cf7-a00f-29e172729c0d"]}],"mendeley":{"formattedCitation":"(Gichuki et al., 2012)","plainTextFormattedCitation":"(Gichuki et al., 2012)","previouslyFormattedCitation":"(Gichuki et al., 2012)"},"properties":{"noteIndex":0},"schema":"https://github.com/citation-style-language/schema/raw/master/csl-citation.json"}</w:instrText>
      </w:r>
      <w:r>
        <w:rPr>
          <w:rFonts w:ascii="Times New Roman" w:hAnsi="Times New Roman" w:cs="Times New Roman"/>
          <w:bCs/>
        </w:rPr>
        <w:fldChar w:fldCharType="separate"/>
      </w:r>
      <w:r>
        <w:rPr>
          <w:rFonts w:ascii="Times New Roman" w:hAnsi="Times New Roman" w:cs="Times New Roman"/>
          <w:bCs/>
          <w:noProof/>
        </w:rPr>
        <w:t>Gichuki et al., 2012)</w:t>
      </w:r>
      <w:r>
        <w:rPr>
          <w:rFonts w:ascii="Times New Roman" w:hAnsi="Times New Roman" w:cs="Times New Roman"/>
          <w:bCs/>
        </w:rPr>
        <w:fldChar w:fldCharType="end"/>
      </w:r>
      <w:r>
        <w:rPr>
          <w:rFonts w:ascii="Times New Roman" w:hAnsi="Times New Roman" w:cs="Times New Roman"/>
        </w:rPr>
        <w:t xml:space="preserve">. Proliferation is generally governed by nutrient availability, water depth, light penetration and hydrodynamic shelter, with nutrient enrichment from agricultural runoff repeatedly identified as a primary driver in shallow, catchment-coupled systems (Al-lami </w:t>
      </w:r>
      <w:r>
        <w:rPr>
          <w:rFonts w:ascii="Times New Roman" w:hAnsi="Times New Roman" w:cs="Times New Roman"/>
          <w:bCs/>
        </w:rPr>
        <w:fldChar w:fldCharType="begin" w:fldLock="1"/>
      </w:r>
      <w:r>
        <w:rPr>
          <w:rFonts w:ascii="Times New Roman" w:hAnsi="Times New Roman" w:cs="Times New Roman"/>
          <w:bCs/>
        </w:rPr>
        <w:instrText>ADDIN CSL_CITATION {"citationItems":[{"id":"ITEM-1","itemData":{"DOI":"10.1016/j.rsase.2021.100471","ISSN":"23529385","abstract":"The Nile rose or water hyacinth (Eichhornia crassipes) is an aquatic species threaten socio-economic and ecological systems, by invading freshwater ecosystems, affecting their productivity and functionality, as well as causing unfixable damage to key hydrological processes. Spectral signature differences can play a common role through using remote identification for these invasive plants, by using hyperspectral data, while many other studies showed that textural and phrenological differences are also can be considered as an effective strategy in this critical problem. New generation sensors like Sentinel 2 and Landsat 8 sensors of recently launched crop with improved sensing characteristics, unlike the previous broadband multispectral sensors has been provided untapped prospective alternatives. New insights were introduced in the detecting, mapping, and monitoring the spread of Nile Rose aquatic plant in the Tigris River at Wasit province in Iraq which has caused damage to fishing nets and make it difficult for fishermen to paddle on the river. Vegetation indices have been used to assess the impacts on major socio-economic activities in the study area. Spectral reflectance of Landsat 8 operational land imager OLI (acquired at Oct 6, 2016) was used to differentiate the spectral signature of the water hyacinth from other plants. These indices recorded the highest reflection of the Nile Rose plant relative to the rest of the plants. The result showed that the green Chlorophyll Index (CL Green) with overall accuracy of 89% which proved that this study has established a promising method for monitoring the invasion of the Nile Rose in the Tigris River to insure the availability of safe drinking water as a main source for the people such as in the study area nearby the part of Tigris River.","author":[{"dropping-particle":"","family":"Al-lami","given":"Ahmed Kadhim","non-dropping-particle":"","parse-names":false,"suffix":""},{"dropping-particle":"","family":"Abbood","given":"Raad A.","non-dropping-particle":"","parse-names":false,"suffix":""},{"dropping-particle":"","family":"Maliki","given":"Ali A.","non-dropping-particle":"Al","parse-names":false,"suffix":""},{"dropping-particle":"","family":"Al-Ansari","given":"Nadhir","non-dropping-particle":"","parse-names":false,"suffix":""}],"container-title":"Remote Sensing Applications: Society and Environment","id":"ITEM-1","issued":{"date-parts":[["2021","4","1"]]},"publisher":"Elsevier B.V.","title":"Using vegetation indices for monitoring the spread of Nile Rose plant in the Tigris River within Wasit province, Iraq","type":"article-journal","volume":"22"},"uris":["http://www.mendeley.com/documents/?uuid=0126395c-b1a2-3daf-b55c-72de64281c1e"]}],"mendeley":{"formattedCitation":"(Al-lami et al., 2021)","plainTextFormattedCitation":"(Al-lami et al., 2021)","previouslyFormattedCitation":"(Al-lami et al., 2021)"},"properties":{"noteIndex":0},"schema":"https://github.com/citation-style-language/schema/raw/master/csl-citation.json"}</w:instrText>
      </w:r>
      <w:r>
        <w:rPr>
          <w:rFonts w:ascii="Times New Roman" w:hAnsi="Times New Roman" w:cs="Times New Roman"/>
          <w:bCs/>
        </w:rPr>
        <w:fldChar w:fldCharType="separate"/>
      </w:r>
      <w:r>
        <w:rPr>
          <w:rFonts w:ascii="Times New Roman" w:hAnsi="Times New Roman" w:cs="Times New Roman"/>
          <w:bCs/>
          <w:noProof/>
        </w:rPr>
        <w:t>et al., 2021).</w:t>
      </w:r>
      <w:r>
        <w:rPr>
          <w:rFonts w:ascii="Times New Roman" w:hAnsi="Times New Roman" w:cs="Times New Roman"/>
          <w:bCs/>
        </w:rPr>
        <w:fldChar w:fldCharType="end"/>
      </w:r>
    </w:p>
    <w:p w14:paraId="3CC7B289" w14:textId="77777777" w:rsidR="00CF0628" w:rsidRPr="00352C77" w:rsidRDefault="00CF0628" w:rsidP="00A623D5">
      <w:pPr>
        <w:pStyle w:val="Heading3"/>
        <w:spacing w:line="360" w:lineRule="auto"/>
        <w:ind w:left="720"/>
        <w:rPr>
          <w:rFonts w:ascii="Times New Roman" w:hAnsi="Times New Roman" w:cs="Times New Roman"/>
        </w:rPr>
      </w:pPr>
      <w:bookmarkStart w:id="29" w:name="_Toc234133564"/>
      <w:bookmarkStart w:id="30" w:name="_Toc237884278"/>
      <w:r>
        <w:rPr>
          <w:rFonts w:ascii="Times New Roman" w:hAnsi="Times New Roman" w:cs="Times New Roman"/>
        </w:rPr>
        <w:lastRenderedPageBreak/>
        <w:t>2.1.2 Challenges of Traditional Field-Based Monitoring</w:t>
      </w:r>
      <w:bookmarkEnd w:id="29"/>
      <w:bookmarkEnd w:id="30"/>
    </w:p>
    <w:p w14:paraId="5418F714" w14:textId="77777777" w:rsidR="00CF0628" w:rsidRPr="00352C77" w:rsidRDefault="00CF0628" w:rsidP="00A623D5">
      <w:pPr>
        <w:pStyle w:val="ListParagraph"/>
        <w:spacing w:after="160" w:line="360" w:lineRule="auto"/>
        <w:ind w:left="720"/>
        <w:jc w:val="both"/>
        <w:rPr>
          <w:rFonts w:ascii="Times New Roman" w:hAnsi="Times New Roman" w:cs="Times New Roman"/>
        </w:rPr>
      </w:pPr>
      <w:r>
        <w:rPr>
          <w:rFonts w:ascii="Times New Roman" w:hAnsi="Times New Roman" w:cs="Times New Roman"/>
        </w:rPr>
        <w:t xml:space="preserve">Conventional monitoring of aquatic weeds relies on field </w:t>
      </w:r>
      <w:proofErr w:type="gramStart"/>
      <w:r>
        <w:rPr>
          <w:rFonts w:ascii="Times New Roman" w:hAnsi="Times New Roman" w:cs="Times New Roman"/>
        </w:rPr>
        <w:t>surveys,</w:t>
      </w:r>
      <w:proofErr w:type="gramEnd"/>
      <w:r>
        <w:rPr>
          <w:rFonts w:ascii="Times New Roman" w:hAnsi="Times New Roman" w:cs="Times New Roman"/>
        </w:rPr>
        <w:t xml:space="preserve"> boat transects and manual mapping. While such methods can be accurate at the point of measurement, they are labour-intensive, costly, time-consuming and difficult to repeat at the frequency needed to capture rapidly changing infestations. Access to weed-choked or remote parts of a lake is often hazardous or impossible, and point measurements are difficult to extrapolate to the whole water body. As a result, field-based approaches rarely provide the synoptic, repeatable and spatially continuous coverage required to understand how weed cover varies across a lake and changes through time </w:t>
      </w:r>
      <w:r>
        <w:rPr>
          <w:rFonts w:ascii="Times New Roman" w:hAnsi="Times New Roman" w:cs="Times New Roman"/>
          <w:b/>
          <w:bCs/>
        </w:rPr>
        <w:fldChar w:fldCharType="begin" w:fldLock="1"/>
      </w:r>
      <w:r>
        <w:rPr>
          <w:rFonts w:ascii="Times New Roman" w:hAnsi="Times New Roman" w:cs="Times New Roman"/>
          <w:b/>
          <w:bCs/>
        </w:rPr>
        <w:instrText>ADDIN CSL_CITATION {"citationItems":[{"id":"ITEM-1","itemData":{"DOI":"10.3389/fevo.2021.631338","ISSN":"2296701X","abstract":"Water hyacinth (Pontederia crassipes, also referred to as Eichhornia crassipes) is one of the most invasive weed species in the world, causing significant adverse economic and ecological impacts, particularly in tropical and sub-tropical regions. Large scale real-time monitoring of areas of chronic infestation is critical to formulate effective control strategies for this fast spreading weed species. Assessment of revenue generation potential of the harvested water hyacinth biomass also requires enhanced understanding to estimate the biomass yield potential for a given water body. Modern remote sensing technologies can greatly enhance our capacity to understand, monitor, and estimate water hyacinth infestation within inland as well as coastal freshwater bodies. Readily available satellite imagery with high spectral, temporal, and spatial resolution, along with conventional and modern machine learning techniques for automated image analysis, can enable discrimination of water hyacinth infestation from other floating or submerged vegetation. Remote sensing can potentially be complemented with an array of other technology-based methods, including aerial surveys, ground-level sensors, and citizen science, to provide comprehensive, timely, and accurate monitoring. This review discusses the latest developments in the use of remote sensing and other technologies to monitor water hyacinth infestation, and proposes a novel, multi-modal approach that combines the strengths of the different methods.","author":[{"dropping-particle":"","family":"Datta","given":"Aviraj","non-dropping-particle":"","parse-names":false,"suffix":""},{"dropping-particle":"","family":"Maharaj","given":"Savitri","non-dropping-particle":"","parse-names":false,"suffix":""},{"dropping-particle":"","family":"Prabhu","given":"G. Nagendra","non-dropping-particle":"","parse-names":false,"suffix":""},{"dropping-particle":"","family":"Bhowmik","given":"Deepayan","non-dropping-particle":"","parse-names":false,"suffix":""},{"dropping-particle":"","family":"Marino","given":"Armando","non-dropping-particle":"","parse-names":false,"suffix":""},{"dropping-particle":"","family":"Akbari","given":"Vahid","non-dropping-particle":"","parse-names":false,"suffix":""},{"dropping-particle":"","family":"Rupavatharam","given":"Srikanth","non-dropping-particle":"","parse-names":false,"suffix":""},{"dropping-particle":"","family":"Sujeetha","given":"J. Alice R.P.","non-dropping-particle":"","parse-names":false,"suffix":""},{"dropping-particle":"","family":"Anantrao","given":"Girish Gunjotikar","non-dropping-particle":"","parse-names":false,"suffix":""},{"dropping-particle":"","family":"Poduvattil","given":"Vidhu Kampurath","non-dropping-particle":"","parse-names":false,"suffix":""},{"dropping-particle":"","family":"Kumar","given":"Saurav","non-dropping-particle":"","parse-names":false,"suffix":""},{"dropping-particle":"","family":"Kleczkowski","given":"Adam","non-dropping-particle":"","parse-names":false,"suffix":""}],"container-title":"Frontiers in Ecology and Evolution","id":"ITEM-1","issued":{"date-parts":[["2021","1","28"]]},"publisher":"Frontiers Media S.A.","title":"Monitoring the Spread of Water Hyacinth (Pontederia crassipes): Challenges and Future Developments","type":"article","volume":"9"},"uris":["http://www.mendeley.com/documents/?uuid=16e95737-cfdf-376f-845a-7b34377846ad"]}],"mendeley":{"formattedCitation":"(Datta et al., 2021)","plainTextFormattedCitation":"(Datta et al., 2021)","previouslyFormattedCitation":"(Datta et al., 2021)"},"properties":{"noteIndex":0},"schema":"https://github.com/citation-style-language/schema/raw/master/csl-citation.json"}</w:instrText>
      </w:r>
      <w:r>
        <w:rPr>
          <w:rFonts w:ascii="Times New Roman" w:hAnsi="Times New Roman" w:cs="Times New Roman"/>
          <w:b/>
          <w:bCs/>
        </w:rPr>
        <w:fldChar w:fldCharType="separate"/>
      </w:r>
      <w:r>
        <w:rPr>
          <w:rFonts w:ascii="Times New Roman" w:hAnsi="Times New Roman" w:cs="Times New Roman"/>
          <w:noProof/>
        </w:rPr>
        <w:t xml:space="preserve">(Datta et al., 2021; </w:t>
      </w:r>
      <w:r>
        <w:rPr>
          <w:rFonts w:ascii="Times New Roman" w:hAnsi="Times New Roman" w:cs="Times New Roman"/>
        </w:rPr>
        <w:fldChar w:fldCharType="end"/>
      </w:r>
      <w:r>
        <w:rPr>
          <w:rFonts w:ascii="Times New Roman" w:hAnsi="Times New Roman" w:cs="Times New Roman"/>
        </w:rPr>
        <w:fldChar w:fldCharType="begin" w:fldLock="1"/>
      </w:r>
      <w:r>
        <w:rPr>
          <w:rFonts w:ascii="Times New Roman" w:hAnsi="Times New Roman" w:cs="Times New Roman"/>
        </w:rPr>
        <w:instrText>ADDIN CSL_CITATION {"citationItems":[{"id":"ITEM-1","itemData":{"DOI":"10.1007/s10661-007-9855-3","ISSN":"01676369","PMID":"17593532","abstract":"Aquatic vegetation is an important component of wetland and coastal ecosystems, playing a key role in the ecological functions of these environments. Surveys of macrophyte communities are commonly hindered by logistic problems, and remote sensing represents a powerful alternative, allowing comprehensive assessment and monitoring. Also, many vegetation characteristics can be estimated from reflectance measurements, such as species composition, vegetation structure, biomass, and plant physiological parameters. However, proper use of these methods requires an understanding of the physical processes behind the interaction between electromagnetic radiation and vegetation, and remote sensing of aquatic plants have some particular difficulties that have to be properly addressed in order to obtain successful results. The present paper reviews the theoretical background and possible applications of remote sensing techniques to the study of aquatic vegetation. © Springer Science+Business Media B.V. 2007.","author":[{"dropping-particle":"","family":"Silva","given":"Thiago S.F.","non-dropping-particle":"","parse-names":false,"suffix":""},{"dropping-particle":"","family":"Costa","given":"Maycira P.F.","non-dropping-particle":"","parse-names":false,"suffix":""},{"dropping-particle":"","family":"Melack","given":"John M.","non-dropping-particle":"","parse-names":false,"suffix":""},{"dropping-particle":"","family":"Novo","given":"Evlyn M.L.M.","non-dropping-particle":"","parse-names":false,"suffix":""}],"container-title":"Environmental Monitoring and Assessment","id":"ITEM-1","issue":"1-3","issued":{"date-parts":[["2008"]]},"page":"131-145","title":"Remote sensing of aquatic vegetation: Theory and applications","type":"article-journal","volume":"140"},"uris":["http://www.mendeley.com/documents/?uuid=5a1daa7f-2e8a-446d-a287-f01a8d980389"]}],"mendeley":{"formattedCitation":"(Silva et al., 2008)","plainTextFormattedCitation":"(Silva et al., 2008)","previouslyFormattedCitation":"(Silva et al., 2008)"},"properties":{"noteIndex":0},"schema":"https://github.com/citation-style-language/schema/raw/master/csl-citation.json"}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Silva et al., 2008)</w:t>
      </w:r>
      <w:r>
        <w:rPr>
          <w:rFonts w:ascii="Times New Roman" w:hAnsi="Times New Roman" w:cs="Times New Roman"/>
          <w:b/>
          <w:bCs/>
        </w:rPr>
        <w:fldChar w:fldCharType="end"/>
      </w:r>
      <w:r>
        <w:rPr>
          <w:rFonts w:ascii="Times New Roman" w:hAnsi="Times New Roman" w:cs="Times New Roman"/>
        </w:rPr>
        <w:t>. These limitations are especially acute for smaller lakes in developing countries, where monitoring budgets and technical capacity are constrained.</w:t>
      </w:r>
    </w:p>
    <w:p w14:paraId="5CCB94C7" w14:textId="77777777" w:rsidR="00CF0628" w:rsidRPr="00352C77" w:rsidRDefault="00CF0628" w:rsidP="00A623D5">
      <w:pPr>
        <w:pStyle w:val="Heading3"/>
        <w:spacing w:line="360" w:lineRule="auto"/>
        <w:ind w:left="720"/>
        <w:rPr>
          <w:rFonts w:ascii="Times New Roman" w:hAnsi="Times New Roman" w:cs="Times New Roman"/>
        </w:rPr>
      </w:pPr>
      <w:bookmarkStart w:id="31" w:name="_Toc234133565"/>
      <w:bookmarkStart w:id="32" w:name="_Toc237884279"/>
      <w:r>
        <w:rPr>
          <w:rFonts w:ascii="Times New Roman" w:hAnsi="Times New Roman" w:cs="Times New Roman"/>
        </w:rPr>
        <w:t>2.1.3 Remote Sensing as a Solution</w:t>
      </w:r>
      <w:bookmarkEnd w:id="31"/>
      <w:bookmarkEnd w:id="32"/>
    </w:p>
    <w:p w14:paraId="09178052" w14:textId="77777777" w:rsidR="00CF0628" w:rsidRPr="00352C77" w:rsidRDefault="00CF0628" w:rsidP="00A623D5">
      <w:pPr>
        <w:pStyle w:val="ListParagraph"/>
        <w:spacing w:after="160" w:line="360" w:lineRule="auto"/>
        <w:ind w:left="720"/>
        <w:jc w:val="both"/>
        <w:rPr>
          <w:rFonts w:ascii="Times New Roman" w:hAnsi="Times New Roman" w:cs="Times New Roman"/>
        </w:rPr>
      </w:pPr>
      <w:r>
        <w:rPr>
          <w:rFonts w:ascii="Times New Roman" w:hAnsi="Times New Roman" w:cs="Times New Roman"/>
        </w:rPr>
        <w:t xml:space="preserve">Satellite remote sensing offers a practical solution to these limitations by providing synoptic, repeatable and comparatively low-cost coverage of large water bodies. The contrasting spectral behaviour of water and vegetation underpins this capability: healthy vegetation reflects strongly in the near-infrared (NIR) and absorbs in the red region, whereas open water absorbs strongly in the NIR and reflects more in the visible and green regions. Spectral indices exploit these contrasts to separate vegetation from open water (Datta </w:t>
      </w:r>
      <w:r>
        <w:rPr>
          <w:rFonts w:ascii="Times New Roman" w:hAnsi="Times New Roman" w:cs="Times New Roman"/>
          <w:b/>
          <w:bCs/>
        </w:rPr>
        <w:fldChar w:fldCharType="begin" w:fldLock="1"/>
      </w:r>
      <w:r>
        <w:rPr>
          <w:rFonts w:ascii="Times New Roman" w:hAnsi="Times New Roman" w:cs="Times New Roman"/>
          <w:b/>
          <w:bCs/>
        </w:rPr>
        <w:instrText>ADDIN CSL_CITATION {"citationItems":[{"id":"ITEM-1","itemData":{"DOI":"10.3389/fevo.2021.631338","ISSN":"2296701X","abstract":"Water hyacinth (Pontederia crassipes, also referred to as Eichhornia crassipes) is one of the most invasive weed species in the world, causing significant adverse economic and ecological impacts, particularly in tropical and sub-tropical regions. Large scale real-time monitoring of areas of chronic infestation is critical to formulate effective control strategies for this fast spreading weed species. Assessment of revenue generation potential of the harvested water hyacinth biomass also requires enhanced understanding to estimate the biomass yield potential for a given water body. Modern remote sensing technologies can greatly enhance our capacity to understand, monitor, and estimate water hyacinth infestation within inland as well as coastal freshwater bodies. Readily available satellite imagery with high spectral, temporal, and spatial resolution, along with conventional and modern machine learning techniques for automated image analysis, can enable discrimination of water hyacinth infestation from other floating or submerged vegetation. Remote sensing can potentially be complemented with an array of other technology-based methods, including aerial surveys, ground-level sensors, and citizen science, to provide comprehensive, timely, and accurate monitoring. This review discusses the latest developments in the use of remote sensing and other technologies to monitor water hyacinth infestation, and proposes a novel, multi-modal approach that combines the strengths of the different methods.","author":[{"dropping-particle":"","family":"Datta","given":"Aviraj","non-dropping-particle":"","parse-names":false,"suffix":""},{"dropping-particle":"","family":"Maharaj","given":"Savitri","non-dropping-particle":"","parse-names":false,"suffix":""},{"dropping-particle":"","family":"Prabhu","given":"G. Nagendra","non-dropping-particle":"","parse-names":false,"suffix":""},{"dropping-particle":"","family":"Bhowmik","given":"Deepayan","non-dropping-particle":"","parse-names":false,"suffix":""},{"dropping-particle":"","family":"Marino","given":"Armando","non-dropping-particle":"","parse-names":false,"suffix":""},{"dropping-particle":"","family":"Akbari","given":"Vahid","non-dropping-particle":"","parse-names":false,"suffix":""},{"dropping-particle":"","family":"Rupavatharam","given":"Srikanth","non-dropping-particle":"","parse-names":false,"suffix":""},{"dropping-particle":"","family":"Sujeetha","given":"J. Alice R.P.","non-dropping-particle":"","parse-names":false,"suffix":""},{"dropping-particle":"","family":"Anantrao","given":"Girish Gunjotikar","non-dropping-particle":"","parse-names":false,"suffix":""},{"dropping-particle":"","family":"Poduvattil","given":"Vidhu Kampurath","non-dropping-particle":"","parse-names":false,"suffix":""},{"dropping-particle":"","family":"Kumar","given":"Saurav","non-dropping-particle":"","parse-names":false,"suffix":""},{"dropping-particle":"","family":"Kleczkowski","given":"Adam","non-dropping-particle":"","parse-names":false,"suffix":""}],"container-title":"Frontiers in Ecology and Evolution","id":"ITEM-1","issued":{"date-parts":[["2021","1","28"]]},"publisher":"Frontiers Media S.A.","title":"Monitoring the Spread of Water Hyacinth (Pontederia crassipes): Challenges and Future Developments","type":"article","volume":"9"},"uris":["http://www.mendeley.com/documents/?uuid=16e95737-cfdf-376f-845a-7b34377846ad"]}],"mendeley":{"formattedCitation":"(Datta et al., 2021)","plainTextFormattedCitation":"(Datta et al., 2021)","previouslyFormattedCitation":"(Datta et al., 2021)"},"properties":{"noteIndex":0},"schema":"https://github.com/citation-style-language/schema/raw/master/csl-citation.json"}</w:instrText>
      </w:r>
      <w:r>
        <w:rPr>
          <w:rFonts w:ascii="Times New Roman" w:hAnsi="Times New Roman" w:cs="Times New Roman"/>
          <w:b/>
          <w:bCs/>
        </w:rPr>
        <w:fldChar w:fldCharType="separate"/>
      </w:r>
      <w:r>
        <w:rPr>
          <w:rFonts w:ascii="Times New Roman" w:hAnsi="Times New Roman" w:cs="Times New Roman"/>
          <w:bCs/>
          <w:noProof/>
        </w:rPr>
        <w:t xml:space="preserve">et al., 2021; </w:t>
      </w:r>
      <w:r>
        <w:rPr>
          <w:rFonts w:ascii="Times New Roman" w:hAnsi="Times New Roman" w:cs="Times New Roman"/>
        </w:rPr>
        <w:fldChar w:fldCharType="end"/>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{"citationItems":[{"id":"ITEM-1","itemData":{"author":[{"dropping-particle":"","family":"Duarte","given":"Lia","non-dropping-particle":"","parse-names":false,"suffix":""},{"dropping-particle":"","family":"Ant","given":"Ana M","non-dropping-particle":"","parse-names":false,"suffix":""},{"dropping-particle":"","family":"Sousa","given":"Joaquim J","non-dropping-particle":"","parse-names":false,"suffix":""}],"id":"ITEM-1","issued":{"date-parts":[["2022"]]},"title":"Spatio-Temporal Water Hyacinth Monitoring in the Lower Mondego ( Portugal ) Using Remote Sensing Data","type":"article-journal"},"uris":["http://www.mendeley.com/documents/?uuid=de75f424-adbe-4dd1-878e-2b6f1dbcdd8b"]}],"mendeley":{"formattedCitation":"(Duarte et al., 2022)","plainTextFormattedCitation":"(Duarte et al., 2022)","previouslyFormattedCitation":"(Duarte et al., 2022)"},"properties":{"noteIndex":0},"schema":"https://github.com/citation-style-language/schema/raw/master/csl-citation.json"}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bCs/>
          <w:noProof/>
        </w:rPr>
        <w:t>Duarte et al., 2022)</w:t>
      </w:r>
      <w:r>
        <w:rPr>
          <w:rFonts w:ascii="Times New Roman" w:hAnsi="Times New Roman" w:cs="Times New Roman"/>
          <w:b/>
          <w:bCs/>
        </w:rPr>
        <w:fldChar w:fldCharType="end"/>
      </w:r>
      <w:r>
        <w:rPr>
          <w:rFonts w:ascii="Times New Roman" w:hAnsi="Times New Roman" w:cs="Times New Roman"/>
        </w:rPr>
        <w:t>. The Sentinel-2 mission, operated by the European Space Agency under the Copernicus Programme, provides multispectral imagery at 10 m resolution in the visible and NIR bands with a high revisit frequency, and its free and open data policy has greatly expanded access to high-quality imagery for environmental monitoring in developing countries</w:t>
      </w:r>
      <w:r>
        <w:rPr>
          <w:rFonts w:ascii="Times New Roman" w:hAnsi="Times New Roman" w:cs="Times New Roman"/>
          <w:b/>
          <w:bCs/>
        </w:rPr>
        <w:t xml:space="preserve"> </w:t>
      </w:r>
      <w:r>
        <w:rPr>
          <w:rFonts w:ascii="Times New Roman" w:hAnsi="Times New Roman" w:cs="Times New Roman"/>
          <w:b/>
          <w:bCs/>
        </w:rPr>
        <w:fldChar w:fldCharType="begin" w:fldLock="1"/>
      </w:r>
      <w:r>
        <w:rPr>
          <w:rFonts w:ascii="Times New Roman" w:hAnsi="Times New Roman" w:cs="Times New Roman"/>
          <w:b/>
          <w:bCs/>
        </w:rPr>
        <w:instrText>ADDIN CSL_CITATION {"citationItems":[{"id":"ITEM-1","itemData":{"DOI":"10.1016/j.rse.2011.11.026","ISSN":"00344257","abstract":"Global Monitoring for Environment and Security (GMES) is a joint initiative of the European Commission (EC) and the European Space Agency (ESA), designed to establish a European capacity for the provision and use of operational monitoring information for environment and security applications. ESA's role in GMES is to provide the definition and the development of the space- and ground-related system elements. GMES Sentinel-2 mission provides continuity to services relying on multi-spectral high-resolution optical observations over global terrestrial surfaces. The key mission objectives for Sentinel-2 are: (1) To provide systematic global acquisitions of high-resolution multi-spectral imagery with a high revisit frequency, (2) to provide enhanced continuity of multi-spectral imagery provided by the SPOT (Satellite Pour l'Observation de la Terre) series of satellites, and (3) to provide observations for the next generation of operational products such as land-cover maps, land change detection maps, and geophysical variables. Consequently, Sentinel-2 will directly contribute to the Land Monitoring, Emergency Response, and Security services. The corresponding user requirements have driven the design toward a dependable multi-spectral Earth-observation system featuring the Multi Spectral Instrument (MSI) with 13 spectral bands spanning from the visible and the near infrared to the short wave infrared. The spatial resolution varies from 10. m to 60. m depending on the spectral band with a 290. km field of view. This unique combination of high spatial resolution, wide field of view and spectral coverage will represent a major step forward compared to current multi-spectral missions. The mission foresees a series of satellites, each having a 7.25-year lifetime over a 15-year period starting with the launch of Sentinel-2A foreseen in 2013. During full operations two identical satellites will be maintained in the same orbit with a phase delay of 180° providing a revisit time of five days at the equator. This paper provides an overview of the GMES Sentinel-2 mission including a technical system concept overview, image quality, Level 1 data processing and operational applications. © 2012 Elsevier Inc.","author":[{"dropping-particle":"","family":"Drusch","given":"M.","non-dropping-particle":"","parse-names":false,"suffix":""},{"dropping-particle":"","family":"Bello","given":"U.","non-dropping-particle":"Del","parse-names":false,"suffix":""},{"dropping-particle":"","family":"Carlier","given":"S.","non-dropping-particle":"","parse-names":false,"suffix":""},{"dropping-particle":"","family":"Colin","given":"O.","non-dropping-particle":"","parse-names":false,"suffix":""},{"dropping-particle":"","family":"Fernandez","given":"V.","non-dropping-particle":"","parse-names":false,"suffix":""},{"dropping-particle":"","family":"Gascon","given":"F.","non-dropping-particle":"","parse-names":false,"suffix":""},{"dropping-particle":"","family":"Hoersch","given":"B.","non-dropping-particle":"","parse-names":false,"suffix":""},{"dropping-particle":"","family":"Isola","given":"C.","non-dropping-particle":"","parse-names":false,"suffix":""},{"dropping-particle":"","family":"Laberinti","given":"P.","non-dropping-particle":"","parse-names":false,"suffix":""},{"dropping-particle":"","family":"Martimort","given":"P.","non-dropping-particle":"","parse-names":false,"suffix":""},{"dropping-particle":"","family":"Meygret","given":"A.","non-dropping-particle":"","parse-names":false,"suffix":""},{"dropping-particle":"","family":"Spoto","given":"F.","non-dropping-particle":"","parse-names":false,"suffix":""},{"dropping-particle":"","family":"Sy","given":"O.","non-dropping-particle":"","parse-names":false,"suffix":""},{"dropping-particle":"","family":"Marchese","given":"F.","non-dropping-particle":"","parse-names":false,"suffix":""},{"dropping-particle":"","family":"Bargellini","given":"P.","non-dropping-particle":"","parse-names":false,"suffix":""}],"container-title":"Remote Sensing of Environment","id":"ITEM-1","issued":{"date-parts":[["2012"]]},"page":"25-36","title":"Sentinel-2: ESA's Optical High-Resolution Mission for GMES Operational Services","type":"article-journal","volume":"120"},"uris":["http://www.mendeley.com/documents/?uuid=151fd191-19b8-4f09-9637-ed75c1e0e3bb"]}],"mendeley":{"formattedCitation":"(Drusch et al., 2012)","plainTextFormattedCitation":"(Drusch et al., 2012)","previouslyFormattedCitation":"(Drusch et al., 2012)"},"properties":{"noteIndex":0},"schema":"https://github.com/citation-style-language/schema/raw/master/csl-citation.json"}</w:instrText>
      </w:r>
      <w:r>
        <w:rPr>
          <w:rFonts w:ascii="Times New Roman" w:hAnsi="Times New Roman" w:cs="Times New Roman"/>
          <w:b/>
          <w:bCs/>
        </w:rPr>
        <w:fldChar w:fldCharType="separate"/>
      </w:r>
      <w:r>
        <w:rPr>
          <w:rFonts w:ascii="Times New Roman" w:hAnsi="Times New Roman" w:cs="Times New Roman"/>
          <w:noProof/>
        </w:rPr>
        <w:t>(Drusch et al., 2012).</w:t>
      </w:r>
      <w:r>
        <w:rPr>
          <w:rFonts w:ascii="Times New Roman" w:hAnsi="Times New Roman" w:cs="Times New Roman"/>
          <w:b/>
          <w:bCs/>
        </w:rPr>
        <w:fldChar w:fldCharType="end"/>
      </w:r>
    </w:p>
    <w:p w14:paraId="65A27E16" w14:textId="77777777" w:rsidR="00CF0628" w:rsidRPr="00352C77" w:rsidRDefault="00CF0628" w:rsidP="00A623D5">
      <w:pPr>
        <w:pStyle w:val="Heading3"/>
        <w:spacing w:line="360" w:lineRule="auto"/>
        <w:ind w:left="720"/>
        <w:rPr>
          <w:rFonts w:ascii="Times New Roman" w:hAnsi="Times New Roman" w:cs="Times New Roman"/>
        </w:rPr>
      </w:pPr>
      <w:bookmarkStart w:id="33" w:name="_Toc234133566"/>
      <w:bookmarkStart w:id="34" w:name="_Toc237884280"/>
      <w:r>
        <w:rPr>
          <w:rFonts w:ascii="Times New Roman" w:hAnsi="Times New Roman" w:cs="Times New Roman"/>
        </w:rPr>
        <w:t>2.1.4 Purpose, Scope and Objectives of the Review</w:t>
      </w:r>
      <w:bookmarkEnd w:id="33"/>
      <w:bookmarkEnd w:id="34"/>
    </w:p>
    <w:p w14:paraId="25CC09F4" w14:textId="77777777" w:rsidR="00421B00" w:rsidRPr="00352C77" w:rsidRDefault="00CF0628" w:rsidP="00A623D5">
      <w:pPr>
        <w:pStyle w:val="ListParagraph"/>
        <w:spacing w:after="160" w:line="360" w:lineRule="auto"/>
        <w:ind w:left="720"/>
        <w:jc w:val="both"/>
        <w:rPr>
          <w:rFonts w:ascii="Times New Roman" w:hAnsi="Times New Roman" w:cs="Times New Roman"/>
        </w:rPr>
      </w:pPr>
      <w:r>
        <w:rPr>
          <w:rFonts w:ascii="Times New Roman" w:hAnsi="Times New Roman" w:cs="Times New Roman"/>
        </w:rPr>
        <w:t>The purpose of this review is to establish the conceptual and methodological foundation for using vegetation and water indices to monitor aquatic weeds, and to position the present study within the existing body of knowledge. Its scope is deliberately focused on optical remote sensing of macrophytes and floating weeds in inland waters, with particular attention to freely available satellite data and to the conditions of small, shallow tropical lakes such as Lake Wamala. The specific objectives of the review are:</w:t>
      </w:r>
    </w:p>
    <w:p w14:paraId="1FA6A810" w14:textId="77777777" w:rsidR="00421B00" w:rsidRPr="00352C77" w:rsidRDefault="00421B00" w:rsidP="00A623D5">
      <w:pPr>
        <w:pStyle w:val="ListParagraph"/>
        <w:numPr>
          <w:ilvl w:val="0"/>
          <w:numId w:val="8"/>
        </w:numPr>
        <w:spacing w:after="160" w:line="360" w:lineRule="auto"/>
        <w:jc w:val="both"/>
        <w:rPr>
          <w:rFonts w:ascii="Times New Roman" w:hAnsi="Times New Roman" w:cs="Times New Roman"/>
        </w:rPr>
      </w:pPr>
      <w:r>
        <w:rPr>
          <w:rFonts w:ascii="Times New Roman" w:hAnsi="Times New Roman" w:cs="Times New Roman"/>
        </w:rPr>
        <w:lastRenderedPageBreak/>
        <w:t>To explain the theoretical basis of NDVI and related indices;</w:t>
      </w:r>
    </w:p>
    <w:p w14:paraId="578A4028" w14:textId="77777777" w:rsidR="00421B00" w:rsidRPr="00352C77" w:rsidRDefault="00CF0628" w:rsidP="00A623D5">
      <w:pPr>
        <w:pStyle w:val="ListParagraph"/>
        <w:numPr>
          <w:ilvl w:val="0"/>
          <w:numId w:val="8"/>
        </w:numPr>
        <w:spacing w:after="160" w:line="360" w:lineRule="auto"/>
        <w:jc w:val="both"/>
        <w:rPr>
          <w:rFonts w:ascii="Times New Roman" w:hAnsi="Times New Roman" w:cs="Times New Roman"/>
        </w:rPr>
      </w:pPr>
      <w:r>
        <w:rPr>
          <w:rFonts w:ascii="Times New Roman" w:hAnsi="Times New Roman" w:cs="Times New Roman"/>
        </w:rPr>
        <w:t xml:space="preserve">To examine how these indices have been applied to aquatic vegetation, including floating and submerged weeds, and to change detection over time; </w:t>
      </w:r>
    </w:p>
    <w:p w14:paraId="6DCC3045" w14:textId="77777777" w:rsidR="00421B00" w:rsidRPr="00352C77" w:rsidRDefault="00CF0628" w:rsidP="00A623D5">
      <w:pPr>
        <w:pStyle w:val="ListParagraph"/>
        <w:numPr>
          <w:ilvl w:val="0"/>
          <w:numId w:val="8"/>
        </w:numPr>
        <w:spacing w:after="160" w:line="360" w:lineRule="auto"/>
        <w:jc w:val="both"/>
        <w:rPr>
          <w:rFonts w:ascii="Times New Roman" w:hAnsi="Times New Roman" w:cs="Times New Roman"/>
        </w:rPr>
      </w:pPr>
      <w:r>
        <w:rPr>
          <w:rFonts w:ascii="Times New Roman" w:hAnsi="Times New Roman" w:cs="Times New Roman"/>
        </w:rPr>
        <w:t xml:space="preserve">To appraise critically the challenges and limitations of the approach; and </w:t>
      </w:r>
    </w:p>
    <w:p w14:paraId="4D64BCEE" w14:textId="77777777" w:rsidR="00CF0628" w:rsidRPr="00352C77" w:rsidRDefault="00421B00" w:rsidP="00A623D5">
      <w:pPr>
        <w:pStyle w:val="ListParagraph"/>
        <w:numPr>
          <w:ilvl w:val="0"/>
          <w:numId w:val="8"/>
        </w:numPr>
        <w:spacing w:after="160" w:line="360" w:lineRule="auto"/>
        <w:jc w:val="both"/>
        <w:rPr>
          <w:rFonts w:ascii="Times New Roman" w:hAnsi="Times New Roman" w:cs="Times New Roman"/>
        </w:rPr>
      </w:pPr>
      <w:r>
        <w:rPr>
          <w:rFonts w:ascii="Times New Roman" w:hAnsi="Times New Roman" w:cs="Times New Roman"/>
        </w:rPr>
        <w:t>To synthesise this evidence in order to identify the gap that this study addresses.</w:t>
      </w:r>
    </w:p>
    <w:p w14:paraId="2CB0C5A9" w14:textId="77777777" w:rsidR="00CF0628" w:rsidRPr="00352C77" w:rsidRDefault="00CF0628" w:rsidP="00A623D5">
      <w:pPr>
        <w:pStyle w:val="Heading2"/>
        <w:spacing w:line="360" w:lineRule="auto"/>
        <w:ind w:left="720"/>
        <w:rPr>
          <w:rFonts w:ascii="Times New Roman" w:hAnsi="Times New Roman" w:cs="Times New Roman"/>
        </w:rPr>
      </w:pPr>
      <w:bookmarkStart w:id="35" w:name="_Toc234133567"/>
      <w:bookmarkStart w:id="36" w:name="_Toc237884281"/>
      <w:r>
        <w:rPr>
          <w:rFonts w:ascii="Times New Roman" w:hAnsi="Times New Roman" w:cs="Times New Roman"/>
        </w:rPr>
        <w:t>2.2 Theoretical Foundation of the Normalized Difference Vegetation Index (NDVI)</w:t>
      </w:r>
      <w:bookmarkEnd w:id="35"/>
      <w:bookmarkEnd w:id="36"/>
    </w:p>
    <w:p w14:paraId="149BBE03" w14:textId="77777777" w:rsidR="00CF0628" w:rsidRPr="00352C77" w:rsidRDefault="00CF0628" w:rsidP="00A623D5">
      <w:pPr>
        <w:pStyle w:val="Heading3"/>
        <w:spacing w:line="360" w:lineRule="auto"/>
        <w:ind w:left="720"/>
        <w:rPr>
          <w:rFonts w:ascii="Times New Roman" w:hAnsi="Times New Roman" w:cs="Times New Roman"/>
        </w:rPr>
      </w:pPr>
      <w:bookmarkStart w:id="37" w:name="_Toc234133568"/>
      <w:bookmarkStart w:id="38" w:name="_Toc237884282"/>
      <w:r>
        <w:rPr>
          <w:rFonts w:ascii="Times New Roman" w:hAnsi="Times New Roman" w:cs="Times New Roman"/>
        </w:rPr>
        <w:t>2.2.1 Biophysical Principles of Vegetation Reflectance</w:t>
      </w:r>
      <w:bookmarkEnd w:id="37"/>
      <w:bookmarkEnd w:id="38"/>
    </w:p>
    <w:p w14:paraId="35D535DC" w14:textId="77777777" w:rsidR="00CF0628" w:rsidRPr="00352C77" w:rsidRDefault="00CF0628" w:rsidP="00A623D5">
      <w:pPr>
        <w:pStyle w:val="ListParagraph"/>
        <w:spacing w:after="160" w:line="360" w:lineRule="auto"/>
        <w:ind w:left="720"/>
        <w:jc w:val="both"/>
        <w:rPr>
          <w:rFonts w:ascii="Times New Roman" w:hAnsi="Times New Roman" w:cs="Times New Roman"/>
        </w:rPr>
      </w:pPr>
      <w:r>
        <w:rPr>
          <w:rFonts w:ascii="Times New Roman" w:hAnsi="Times New Roman" w:cs="Times New Roman"/>
        </w:rPr>
        <w:t xml:space="preserve">The theoretical basis of NDVI lies in the characteristic spectral response of green vegetation. Photosynthetically active plant tissue strongly absorbs red light (approximately 0.6 to 0.7 micrometres) because chlorophyll uses it for photosynthesis, while the internal cellular structure of leaves causes strong reflectance in the near-infrared (approximately 0.7 to 1.1 micrometres). This produces a sharp increase in reflectance between the red and NIR regions, commonly called the red edge, which is the single most diagnostic feature of living vegetation. The magnitude of this red-edge contrast increases with the amount, density and vigour of vegetation, so that comparing red and NIR reflectance provides a sensitive measure of green biomass </w:t>
      </w:r>
      <w:r>
        <w:rPr>
          <w:rFonts w:ascii="Times New Roman" w:hAnsi="Times New Roman" w:cs="Times New Roman"/>
          <w:b/>
          <w:bCs/>
        </w:rPr>
        <w:fldChar w:fldCharType="begin" w:fldLock="1"/>
      </w:r>
      <w:r>
        <w:rPr>
          <w:rFonts w:ascii="Times New Roman" w:hAnsi="Times New Roman" w:cs="Times New Roman"/>
          <w:b/>
          <w:bCs/>
        </w:rPr>
        <w:instrText>ADDIN CSL_CITATION {"citationItems":[{"id":"ITEM-1","itemData":{"DOI":"10.1007/s10661-007-9855-3","ISSN":"01676369","PMID":"17593532","abstract":"Aquatic vegetation is an important component of wetland and coastal ecosystems, playing a key role in the ecological functions of these environments. Surveys of macrophyte communities are commonly hindered by logistic problems, and remote sensing represents a powerful alternative, allowing comprehensive assessment and monitoring. Also, many vegetation characteristics can be estimated from reflectance measurements, such as species composition, vegetation structure, biomass, and plant physiological parameters. However, proper use of these methods requires an understanding of the physical processes behind the interaction between electromagnetic radiation and vegetation, and remote sensing of aquatic plants have some particular difficulties that have to be properly addressed in order to obtain successful results. The present paper reviews the theoretical background and possible applications of remote sensing techniques to the study of aquatic vegetation. © Springer Science+Business Media B.V. 2007.","author":[{"dropping-particle":"","family":"Silva","given":"Thiago S.F.","non-dropping-particle":"","parse-names":false,"suffix":""},{"dropping-particle":"","family":"Costa","given":"Maycira P.F.","non-dropping-particle":"","parse-names":false,"suffix":""},{"dropping-particle":"","family":"Melack","given":"John M.","non-dropping-particle":"","parse-names":false,"suffix":""},{"dropping-particle":"","family":"Novo","given":"Evlyn M.L.M.","non-dropping-particle":"","parse-names":false,"suffix":""}],"container-title":"Environmental Monitoring and Assessment","id":"ITEM-1","issue":"1-3","issued":{"date-parts":[["2008"]]},"page":"131-145","title":"Remote sensing of aquatic vegetation: Theory and applications","type":"article-journal","volume":"140"},"uris":["http://www.mendeley.com/documents/?uuid=5d37ea2f-5cbf-42e4-b1ac-4c85a9ed05f0"]}],"mendeley":{"formattedCitation":"(Silva et al., 2008)","plainTextFormattedCitation":"(Silva et al., 2008)","previouslyFormattedCitation":"(Silva et al., 2008)"},"properties":{"noteIndex":0},"schema":"https://github.com/citation-style-language/schema/raw/master/csl-citation.json"}</w:instrText>
      </w:r>
      <w:r>
        <w:rPr>
          <w:rFonts w:ascii="Times New Roman" w:hAnsi="Times New Roman" w:cs="Times New Roman"/>
          <w:b/>
          <w:bCs/>
        </w:rPr>
        <w:fldChar w:fldCharType="separate"/>
      </w:r>
      <w:r>
        <w:rPr>
          <w:rFonts w:ascii="Times New Roman" w:hAnsi="Times New Roman" w:cs="Times New Roman"/>
          <w:bCs/>
          <w:noProof/>
        </w:rPr>
        <w:t xml:space="preserve">(Silva et al., 2008; </w:t>
      </w:r>
      <w:r>
        <w:rPr>
          <w:rFonts w:ascii="Times New Roman" w:hAnsi="Times New Roman" w:cs="Times New Roman"/>
        </w:rPr>
        <w:fldChar w:fldCharType="end"/>
      </w:r>
      <w:r>
        <w:rPr>
          <w:rFonts w:ascii="Times New Roman" w:hAnsi="Times New Roman" w:cs="Times New Roman"/>
        </w:rPr>
        <w:fldChar w:fldCharType="begin" w:fldLock="1"/>
      </w:r>
      <w:r>
        <w:rPr>
          <w:rFonts w:ascii="Times New Roman" w:hAnsi="Times New Roman" w:cs="Times New Roman"/>
        </w:rPr>
        <w:instrText>ADDIN CSL_CITATION {"citationItems":[{"id":"ITEM-1","itemData":{"DOI":"10.1016/0034-4257(79)90013-0","ISSN":"00344257","abstract":"In situ collected spectrometer data were used to evaluate and quantify the relationships between various linear combinations of red and photographic infrared radiances and experimental plot biomass, leaf water content, and chlorophyll content. The radiance variables evaluated included the red and photographic infrared (IR) radiance and the linear combinations of the IR/red ratio, the square root of the IR/red ratio, the IR-red difference, the vegetation index, and the transformed vegetation index. In addition, the corresponding green and red linear combinations were evaluated for comparative purposes. Three data sets were used from June, September, and October sampling periods. Regression analysis showed the increased utility of the IR and red linear combinations vis-à-vis the same green and red linear combinations. The red and IR linear combinations had 7% and 14% greater regression significance than the green and red linear combinations for the June and September sampling periods, respectively. The vegetation index, transformed vegetation index, and square root of the IR/red ratio were the most significant, followed closely by the IR/red ratio. Less than a 6% difference separated the highest and lowest of these four ER and red linear combinations. The use of these linear combinations was shown to be sensitive primarily to the green leaf area or green leaf biomass. As such, these linear combinations of the red and photographic IR radiances can be employed to monitor the photosynthetically active biomass of plant canopies. © 1979.","author":[{"dropping-particle":"","family":"Tucker","given":"Compton J.","non-dropping-particle":"","parse-names":false,"suffix":""}],"container-title":"Remote Sensing of Environment","id":"ITEM-1","issue":"2","issued":{"date-parts":[["1979"]]},"page":"127-150","title":"Red and photographic infrared linear combinations for monitoring vegetation","type":"article-journal","volume":"8"},"uris":["http://www.mendeley.com/documents/?uuid=e08e40c3-1884-4c37-96cd-bf261c5ddb39"]}],"mendeley":{"formattedCitation":"(Tucker, 1979)","plainTextFormattedCitation":"(Tucker, 1979)","previouslyFormattedCitation":"(Tucker, 1979)"},"properties":{"noteIndex":0},"schema":"https://github.com/citation-style-language/schema/raw/master/csl-citation.json"}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bCs/>
          <w:noProof/>
        </w:rPr>
        <w:t>Tucker, 1979)</w:t>
      </w:r>
      <w:r>
        <w:rPr>
          <w:rFonts w:ascii="Times New Roman" w:hAnsi="Times New Roman" w:cs="Times New Roman"/>
        </w:rPr>
        <w:fldChar w:fldCharType="end"/>
      </w:r>
      <w:r>
        <w:rPr>
          <w:rFonts w:ascii="Times New Roman" w:hAnsi="Times New Roman" w:cs="Times New Roman"/>
        </w:rPr>
        <w:t>. Water behaves in the opposite way, absorbing strongly in the NIR and therefore yielding a weak or reversed contrast, which is what allows indices built on the red and NIR bands to distinguish vegetated from open-water surfaces.</w:t>
      </w:r>
    </w:p>
    <w:p w14:paraId="4F7FF850" w14:textId="77777777" w:rsidR="00CF0628" w:rsidRPr="00352C77" w:rsidRDefault="00CF0628" w:rsidP="00A623D5">
      <w:pPr>
        <w:pStyle w:val="Heading3"/>
        <w:spacing w:line="360" w:lineRule="auto"/>
        <w:ind w:left="720"/>
        <w:rPr>
          <w:rFonts w:ascii="Times New Roman" w:hAnsi="Times New Roman" w:cs="Times New Roman"/>
        </w:rPr>
      </w:pPr>
      <w:bookmarkStart w:id="39" w:name="_Toc234133569"/>
      <w:bookmarkStart w:id="40" w:name="_Toc237884283"/>
      <w:r>
        <w:rPr>
          <w:rFonts w:ascii="Times New Roman" w:hAnsi="Times New Roman" w:cs="Times New Roman"/>
        </w:rPr>
        <w:t>2.2.2 The NDVI Formula and Its Interpretation</w:t>
      </w:r>
      <w:bookmarkEnd w:id="39"/>
      <w:bookmarkEnd w:id="40"/>
    </w:p>
    <w:p w14:paraId="7B65E229" w14:textId="77777777" w:rsidR="00CF0628" w:rsidRPr="00352C77" w:rsidRDefault="00CF0628" w:rsidP="00A623D5">
      <w:pPr>
        <w:pStyle w:val="ListParagraph"/>
        <w:spacing w:after="160" w:line="360" w:lineRule="auto"/>
        <w:ind w:left="720"/>
        <w:jc w:val="both"/>
        <w:rPr>
          <w:rFonts w:ascii="Times New Roman" w:hAnsi="Times New Roman" w:cs="Times New Roman"/>
        </w:rPr>
      </w:pPr>
      <w:r>
        <w:rPr>
          <w:rFonts w:ascii="Times New Roman" w:hAnsi="Times New Roman" w:cs="Times New Roman"/>
        </w:rPr>
        <w:t>NDVI is computed as the difference between near-infrared and red reflectance divided by their sum, that is (NIR - Red) / (NIR + Red). This normalisation constrains the index to a range between -1 and +1 and partially compensates for variations in illumination and viewing geometry. Dense, healthy vegetation typically produces high positive values, sparse or stressed vegetation produces low positive values, bare soil produces values near zero, and open water bodies generally yield negative values because of their strong absorption in the NIR</w:t>
      </w:r>
      <w:r w:rsidRPr="00F663D9">
        <w:rPr>
          <w:rFonts w:ascii="Times New Roman" w:hAnsi="Times New Roman" w:cs="Times New Roman"/>
        </w:rPr>
        <w:t xml:space="preserve"> </w:t>
      </w:r>
      <w:r w:rsidRPr="00F663D9">
        <w:rPr>
          <w:rFonts w:ascii="Times New Roman" w:hAnsi="Times New Roman" w:cs="Times New Roman"/>
        </w:rPr>
        <w:fldChar w:fldCharType="begin" w:fldLock="1"/>
      </w:r>
      <w:r w:rsidRPr="00F663D9">
        <w:rPr>
          <w:rFonts w:ascii="Times New Roman" w:hAnsi="Times New Roman" w:cs="Times New Roman"/>
        </w:rPr>
        <w:instrText>ADDIN CSL_CITATION {"citationItems":[{"id":"ITEM-1","itemData":{"DOI":"10.1016/j.rsase.2021.100471","ISSN":"23529385","abstract":"The Nile rose or water hyacinth (Eichhornia crassipes) is an aquatic species threaten socio-economic and ecological systems, by invading freshwater ecosystems, affecting their productivity and functionality, as well as causing unfixable damage to key hydrological processes. Spectral signature differences can play a common role through using remote identification for these invasive plants, by using hyperspectral data, while many other studies showed that textural and phrenological differences are also can be considered as an effective strategy in this critical problem. New generation sensors like Sentinel 2 and Landsat 8 sensors of recently launched crop with improved sensing characteristics, unlike the previous broadband multispectral sensors has been provided untapped prospective alternatives. New insights were introduced in the detecting, mapping, and monitoring the spread of Nile Rose aquatic plant in the Tigris River at Wasit province in Iraq which has caused damage to fishing nets and make it difficult for fishermen to paddle on the river. Vegetation indices have been used to assess the impacts on major socio-economic activities in the study area. Spectral reflectance of Landsat 8 operational land imager OLI (acquired at Oct 6, 2016) was used to differentiate the spectral signature of the water hyacinth from other plants. These indices recorded the highest reflection of the Nile Rose plant relative to the rest of the plants. The result showed that the green Chlorophyll Index (CL Green) with overall accuracy of 89% which proved that this study has established a promising method for monitoring the invasion of the Nile Rose in the Tigris River to insure the availability of safe drinking water as a main source for the people such as in the study area nearby the part of Tigris River.","author":[{"dropping-particle":"","family":"Al-lami","given":"Ahmed Kadhim","non-dropping-particle":"","parse-names":false,"suffix":""},{"dropping-particle":"","family":"Abbood","given":"Raad A.","non-dropping-particle":"","parse-names":false,"suffix":""},{"dropping-particle":"","family":"Maliki","given":"Ali A.","non-dropping-particle":"Al","parse-names":false,"suffix":""},{"dropping-particle":"","family":"Al-Ansari","given":"Nadhir","non-dropping-particle":"","parse-names":false,"suffix":""}],"container-title":"Remote Sensing Applications: Society and Environment","id":"ITEM-1","issued":{"date-parts":[["2021","4","1"]]},"publisher":"Elsevier B.V.","title":"Using vegetation indices for monitoring the spread of Nile Rose plant in the Tigris River within Wasit province, Iraq","type":"article-journal","volume":"22"},"uris":["http://www.mendeley.com/documents/?uuid=0126395c-b1a2-3daf-b55c-72de64281c1e"]}],"mendeley":{"formattedCitation":"(Al-lami et al., 2021)","manualFormatting":"(Al-lami et al., 2021","plainTextFormattedCitation":"(Al-lami et al., 2021)","previouslyFormattedCitation":"(Al-lami et al., 2021)"},"properties":{"noteIndex":0},"schema":"https://github.com/citation-style-language/schema/raw/master/csl-citation.json"}</w:instrText>
      </w:r>
      <w:r w:rsidRPr="00F663D9">
        <w:rPr>
          <w:rFonts w:ascii="Times New Roman" w:hAnsi="Times New Roman" w:cs="Times New Roman"/>
        </w:rPr>
        <w:fldChar w:fldCharType="separate"/>
      </w:r>
      <w:r w:rsidRPr="00F663D9">
        <w:rPr>
          <w:rFonts w:ascii="Times New Roman" w:hAnsi="Times New Roman" w:cs="Times New Roman"/>
          <w:noProof/>
        </w:rPr>
        <w:t xml:space="preserve">(Al-lami et al., 2021; Belayhun et al., 2024; Mihi et al., 2022). In </w:t>
      </w:r>
      <w:r w:rsidRPr="00F663D9">
        <w:rPr>
          <w:rFonts w:ascii="Times New Roman" w:hAnsi="Times New Roman" w:cs="Times New Roman"/>
          <w:noProof/>
        </w:rPr>
        <w:lastRenderedPageBreak/>
        <w:t>aquatic</w:t>
      </w:r>
      <w:r w:rsidRPr="00F663D9">
        <w:rPr>
          <w:rFonts w:ascii="Times New Roman" w:hAnsi="Times New Roman" w:cs="Times New Roman"/>
        </w:rPr>
        <w:fldChar w:fldCharType="end"/>
      </w:r>
      <w:r>
        <w:rPr>
          <w:rFonts w:ascii="Times New Roman" w:hAnsi="Times New Roman" w:cs="Times New Roman"/>
        </w:rPr>
        <w:fldChar w:fldCharType="begin" w:fldLock="1"/>
      </w:r>
      <w:r>
        <w:rPr>
          <w:rFonts w:ascii="Times New Roman" w:hAnsi="Times New Roman" w:cs="Times New Roman"/>
        </w:rPr>
        <w:instrText>ADDIN CSL_CITATION {"citationItems":[{"id":"ITEM-1","itemData":{"DOI":"10.3389/fenvs.2024.1476014","ISSN":"2296665X","abstract":"Water hyacinth (Pontederia crassipes) is an invasive weed that covers a significant portion of Lake Tana. The infestation has an impact on the lake’s ecological and socioeconomic systems. Early detection of the spread of water hyacinth using geospatial techniques is crucial for its effective management and control. The main objective of this study was to examine the spatiotemporal distribution of water hyacinth from 2016 to 2022 using a random forest machine learning model. The study used 16 variables obtained from Sentinel-2A, Sentinel-1 SAR, and SRTM DEM, and a random forest supervised classification model was applied. Seven spectral indices, five spectral bands, two Sentinel-1 SAR bands, and two topographic variables were used in combination to model the spatial distribution of water hyacinth. The model was evaluated using the overall accuracy and kappa coefficient. The findings demonstrated that the overall accuracy ranged from 0.91 to 0.94 and kappa coefficient from 0.88 to 0.92 in the wet season and 0.93 to 0.95 and 0.90 to 0.93 in the dry season, respectively. B11 and B5 (2022), VH, soil adjusted vegetation index (SAVI), and normalized difference water index (NDWI) (2020), B5 and B12 (2018), and VH and slope (2016) are the highly important variables in the classification. The study found that the spatial coverage of water hyacinth was 686.5 and 650.4 ha (2016), 1,851 and 1,259 ha (2018), 1,396.7 and 1,305.7 ha (2020), and 1,436.5 and 1,216.5 ha (2022) in the wet and dry seasons, respectively. The research findings indicate that variables derived from optical (Sentinel-2A and SRTM) and non-optical (Sentinel-1 SAR) satellite imagery effectively identify water hyacinth and display its spatiotemporal spread using the random forest machine learning algorithm.","author":[{"dropping-particle":"","family":"Belayhun","given":"Matiwos","non-dropping-particle":"","parse-names":false,"suffix":""},{"dropping-particle":"","family":"Chere","given":"Zerihun","non-dropping-particle":"","parse-names":false,"suffix":""},{"dropping-particle":"","family":"Abay","given":"Nigus Gebremedhn","non-dropping-particle":"","parse-names":false,"suffix":""},{"dropping-particle":"","family":"Nicola","given":"Yonas","non-dropping-particle":"","parse-names":false,"suffix":""},{"dropping-particle":"","family":"Asmamaw","given":"Abay","non-dropping-particle":"","parse-names":false,"suffix":""}],"container-title":"Frontiers in Environmental Science","id":"ITEM-1","issued":{"date-parts":[["2024"]]},"publisher":"Frontiers Media SA","title":"Spatiotemporal pattern of water hyacinth (Pontederia crassipes) distribution in Lake Tana, Ethiopia, using a random forest machine learning model","type":"article-journal","volume":"12"},"uris":["http://www.mendeley.com/documents/?uuid=edbca94d-30e7-3b6e-9e5f-8a6ad9b55784"]}],"mendeley":{"formattedCitation":"(Belayhun et al., 2024)","manualFormatting":"Belayhun et al., 2024","plainTextFormattedCitation":"(Belayhun et al., 2024)","previouslyFormattedCitation":"(Belayhun et al., 2024)"},"properties":{"noteIndex":0},"schema":"https://github.com/citation-style-language/schema/raw/master/csl-citation.json"}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fldChar w:fldCharType="begin" w:fldLock="1"/>
      </w:r>
      <w:r>
        <w:rPr>
          <w:rFonts w:ascii="Times New Roman" w:hAnsi="Times New Roman" w:cs="Times New Roman"/>
        </w:rPr>
        <w:instrText>ADDIN CSL_CITATION {"citationItems":[{"id":"ITEM-1","itemData":{"DOI":"10.1007/s12665-022-10513-7","ISSN":"18666299","abstract":"Desertification is an environmental threat that affects many countries in the world, and it poses specially an ecological issue to Algeria. This study aimed to assess areas sensitive to desertification in North-Eastern Algeria (Tebessa province) using a logistic regression model (LRM), and geomatics-based approaches. Topsoil Grain Size Index (TGSI), Normalized Difference Vegetation Index (NDVI), Aridity index (AI), and Anthropic pressure on the steppe environment (APSE) were selected as desertification indicators for representing land surface conditions from soil, vegetation, climate, and anthropic disruptors. Results indicate that both AI and TGSI are the most crucial indices conditioning desertification risk. Other indices; NDVI and ASPE were appeared as secondary important indices. Herein, although vegetation generally is a key factor for reading desertification, this result shows that vegetation changes in this study are less important than other desertification conditioning parameters. Area under curve value equal 0.94 indicates a satisfactory accuracy for the proposed model. In total, desertification risk changes increasingly along a North-to-South gradient of the whole research area. Besides, slight, moderate, high, and very high classes occupied 0.87%, 21.08%, 19.33% and 58.72% of the total land area, respectively. LRM is recommended as an accurate and easily applied tool to monitor desertification, especially in scarce data environment in developing countries. Additionally, the results obtained in this paper represent a basic scientific tool for implementing current and future policies to control desertification at areas with high risk.","author":[{"dropping-particle":"","family":"Mihi","given":"Ali","non-dropping-particle":"","parse-names":false,"suffix":""},{"dropping-particle":"","family":"Ghazela","given":"Rabeh","non-dropping-particle":"","parse-names":false,"suffix":""},{"dropping-particle":"","family":"wissal","given":"Daoud","non-dropping-particle":"","parse-names":false,"suffix":""}],"container-title":"Environmental Earth Sciences","id":"ITEM-1","issue":"15","issued":{"date-parts":[["2022","8","1"]]},"publisher":"Springer Science and Business Media Deutschland GmbH","title":"Mapping potential desertification-prone areas in North-Eastern Algeria using logistic regression model, GIS, and remote sensing techniques","type":"article-journal","volume":"81"},"uris":["http://www.mendeley.com/documents/?uuid=07fc9d1a-c119-36be-acc0-447a49f5f425"]}],"mendeley":{"formattedCitation":"(Mihi et al., 2022)","plainTextFormattedCitation":"(Mihi et al., 2022)","previouslyFormattedCitation":"(Mihi et al., 2022)"},"properties":{"noteIndex":0},"schema":"https://github.com/citation-style-language/schema/raw/master/csl-citation.json"}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b/>
          <w:bCs/>
        </w:rPr>
        <w:fldChar w:fldCharType="end"/>
      </w:r>
      <w:r>
        <w:rPr>
          <w:rFonts w:ascii="Times New Roman" w:hAnsi="Times New Roman" w:cs="Times New Roman"/>
        </w:rPr>
        <w:t xml:space="preserve"> settings this interpretation is retained but shifted: pixels of clear open water register strongly negative NDVI, mixed water-and-vegetation pixels register values around zero, and pixels dominated by floating or emergent weeds register positive values, allowing weed cover to be classified using NDVI thresholds.</w:t>
      </w:r>
    </w:p>
    <w:p w14:paraId="0EA23B94" w14:textId="77777777" w:rsidR="00CF0628" w:rsidRPr="00352C77" w:rsidRDefault="00CF0628" w:rsidP="00A623D5">
      <w:pPr>
        <w:pStyle w:val="Heading3"/>
        <w:spacing w:line="360" w:lineRule="auto"/>
        <w:ind w:left="720"/>
        <w:rPr>
          <w:rFonts w:ascii="Times New Roman" w:hAnsi="Times New Roman" w:cs="Times New Roman"/>
        </w:rPr>
      </w:pPr>
      <w:bookmarkStart w:id="41" w:name="_Toc234133570"/>
      <w:bookmarkStart w:id="42" w:name="_Toc237884284"/>
      <w:r>
        <w:rPr>
          <w:rFonts w:ascii="Times New Roman" w:hAnsi="Times New Roman" w:cs="Times New Roman"/>
        </w:rPr>
        <w:t>2.2.3 Historical Use and Strengths of NDVI in Terrestrial Studies</w:t>
      </w:r>
      <w:bookmarkEnd w:id="41"/>
      <w:bookmarkEnd w:id="42"/>
    </w:p>
    <w:p w14:paraId="00D459D6" w14:textId="77777777" w:rsidR="00CF0628" w:rsidRPr="00352C77" w:rsidRDefault="00CF0628" w:rsidP="00A623D5">
      <w:pPr>
        <w:pStyle w:val="ListParagraph"/>
        <w:spacing w:after="160" w:line="360" w:lineRule="auto"/>
        <w:ind w:left="720"/>
        <w:jc w:val="both"/>
        <w:rPr>
          <w:rFonts w:ascii="Times New Roman" w:hAnsi="Times New Roman" w:cs="Times New Roman"/>
        </w:rPr>
      </w:pPr>
      <w:r>
        <w:rPr>
          <w:rFonts w:ascii="Times New Roman" w:hAnsi="Times New Roman" w:cs="Times New Roman"/>
        </w:rPr>
        <w:t xml:space="preserve">NDVI was first formalised in studies of terrestrial vegetation over the Great Plains using Landsat-era imagery, and it rapidly became the most widely used vegetation index in remote sensing </w:t>
      </w:r>
      <w:r>
        <w:rPr>
          <w:rFonts w:ascii="Times New Roman" w:hAnsi="Times New Roman" w:cs="Times New Roman"/>
          <w:b/>
          <w:bCs/>
        </w:rPr>
        <w:fldChar w:fldCharType="begin" w:fldLock="1"/>
      </w:r>
      <w:r>
        <w:rPr>
          <w:rFonts w:ascii="Times New Roman" w:hAnsi="Times New Roman" w:cs="Times New Roman"/>
          <w:b/>
          <w:bCs/>
        </w:rPr>
        <w:instrText>ADDIN CSL_CITATION {"citationItems":[{"id":"ITEM-1","itemData":{"DOI":"10.1117/1.JRS.16","abstract":"Water hyacinth (Eichhornia crassipes) has become a threat to many aquatic environments worldwide. This aquatic weed presents a rapid reproductive capacity and outcompetes other aquatic plant species, forming dense, free-floating mats, which in many instances completely cover freshwater surfaces. The infestation leads to several serious environmental (includ-ing ecological and socioeconomic) impacts that are hazardous to aquatic systems, disables human uses of surface waters, and affects hydraulic infrastructures (e.g., waterways and pumping stations). Our study explores the use of remote sensing tools to monitor and categorize the spread of water hyacinth, aiming at new insights into the detection, observation, and mapping of this invasive plant using vegetation indices and water indices calculated from multispectral data from satellite Sentinel-2, such as normalized difference vegetation index and normalized difference water index. The approach uses spatiotemporal information and has the potential to contribute to inform planners and decision-makers that are concerned with managing the plant by applying integrated measures. The case study deals with a small water course located in the downstream part of the Mondego river valley in Portugal, a country where water hyacinth is widely spread and constitutes a major problem, mainly in the irrigated agricultural areas of the Tagus, Sado, Mondego, and Lis rivers' basins.","author":[{"dropping-particle":"","family":"Gerardo","given":"Romeu","non-dropping-particle":"","parse-names":false,"suffix":""},{"dropping-particle":"","family":"Lima","given":"Isabel P","non-dropping-particle":"De","parse-names":false,"suffix":""}],"id":"ITEM-1","issued":{"date-parts":[["0"]]},"title":"Assessing the potential of Sentinel-2 data for tracking invasive water hyacinth in a river branch","type":"article-journal"},"uris":["http://www.mendeley.com/documents/?uuid=402b438f-6df6-3c20-baca-8d5e138d170f"]}],"mendeley":{"formattedCitation":"(Gerardo &amp; De Lima, n.d.)","plainTextFormattedCitation":"(Gerardo &amp; De Lima, n.d.)","previouslyFormattedCitation":"(Gerardo &amp; De Lima, n.d.)"},"properties":{"noteIndex":0},"schema":"https://github.com/citation-style-language/schema/raw/master/csl-citation.json"}</w:instrText>
      </w:r>
      <w:r>
        <w:rPr>
          <w:rFonts w:ascii="Times New Roman" w:hAnsi="Times New Roman" w:cs="Times New Roman"/>
          <w:b/>
          <w:bCs/>
        </w:rPr>
        <w:fldChar w:fldCharType="separate"/>
      </w:r>
      <w:r>
        <w:rPr>
          <w:rFonts w:ascii="Times New Roman" w:hAnsi="Times New Roman" w:cs="Times New Roman"/>
          <w:bCs/>
          <w:noProof/>
        </w:rPr>
        <w:t xml:space="preserve">(Gerardo &amp; De Lima, n.d.; </w:t>
      </w:r>
      <w:r>
        <w:rPr>
          <w:rFonts w:ascii="Times New Roman" w:hAnsi="Times New Roman" w:cs="Times New Roman"/>
        </w:rPr>
        <w:fldChar w:fldCharType="end"/>
      </w:r>
      <w:r>
        <w:rPr>
          <w:rFonts w:ascii="Times New Roman" w:hAnsi="Times New Roman" w:cs="Times New Roman"/>
        </w:rPr>
        <w:fldChar w:fldCharType="begin" w:fldLock="1"/>
      </w:r>
      <w:r>
        <w:rPr>
          <w:rFonts w:ascii="Times New Roman" w:hAnsi="Times New Roman" w:cs="Times New Roman"/>
        </w:rPr>
        <w:instrText>ADDIN CSL_CITATION {"citationItems":[{"id":"ITEM-1","itemData":{"DOI":"10.3389/fenvs.2024.1476014","ISSN":"2296665X","abstract":"Water hyacinth (Pontederia crassipes) is an invasive weed that covers a significant portion of Lake Tana. The infestation has an impact on the lake’s ecological and socioeconomic systems. Early detection of the spread of water hyacinth using geospatial techniques is crucial for its effective management and control. The main objective of this study was to examine the spatiotemporal distribution of water hyacinth from 2016 to 2022 using a random forest machine learning model. The study used 16 variables obtained from Sentinel-2A, Sentinel-1 SAR, and SRTM DEM, and a random forest supervised classification model was applied. Seven spectral indices, five spectral bands, two Sentinel-1 SAR bands, and two topographic variables were used in combination to model the spatial distribution of water hyacinth. The model was evaluated using the overall accuracy and kappa coefficient. The findings demonstrated that the overall accuracy ranged from 0.91 to 0.94 and kappa coefficient from 0.88 to 0.92 in the wet season and 0.93 to 0.95 and 0.90 to 0.93 in the dry season, respectively. B11 and B5 (2022), VH, soil adjusted vegetation index (SAVI), and normalized difference water index (NDWI) (2020), B5 and B12 (2018), and VH and slope (2016) are the highly important variables in the classification. The study found that the spatial coverage of water hyacinth was 686.5 and 650.4 ha (2016), 1,851 and 1,259 ha (2018), 1,396.7 and 1,305.7 ha (2020), and 1,436.5 and 1,216.5 ha (2022) in the wet and dry seasons, respectively. The research findings indicate that variables derived from optical (Sentinel-2A and SRTM) and non-optical (Sentinel-1 SAR) satellite imagery effectively identify water hyacinth and display its spatiotemporal spread using the random forest machine learning algorithm.","author":[{"dropping-particle":"","family":"Belayhun","given":"Matiwos","non-dropping-particle":"","parse-names":false,"suffix":""},{"dropping-particle":"","family":"Chere","given":"Zerihun","non-dropping-particle":"","parse-names":false,"suffix":""},{"dropping-particle":"","family":"Abay","given":"Nigus Gebremedhn","non-dropping-particle":"","parse-names":false,"suffix":""},{"dropping-particle":"","family":"Nicola","given":"Yonas","non-dropping-particle":"","parse-names":false,"suffix":""},{"dropping-particle":"","family":"Asmamaw","given":"Abay","non-dropping-particle":"","parse-names":false,"suffix":""}],"container-title":"Frontiers in Environmental Science","id":"ITEM-1","issued":{"date-parts":[["2024"]]},"publisher":"Frontiers Media SA","title":"Spatiotemporal pattern of water hyacinth (Pontederia crassipes) distribution in Lake Tana, Ethiopia, using a random forest machine learning model","type":"article-journal","volume":"12"},"uris":["http://www.mendeley.com/documents/?uuid=edbca94d-30e7-3b6e-9e5f-8a6ad9b55784"]}],"mendeley":{"formattedCitation":"(Belayhun et al., 2024)","plainTextFormattedCitation":"(Belayhun et al., 2024)","previouslyFormattedCitation":"(Belayhun et al., 2024)"},"properties":{"noteIndex":0},"schema":"https://github.com/citation-style-language/schema/raw/master/csl-citation.json"}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bCs/>
          <w:noProof/>
        </w:rPr>
        <w:t>Belayhun et al., 2024</w:t>
      </w:r>
      <w:r>
        <w:rPr>
          <w:rFonts w:ascii="Times New Roman" w:hAnsi="Times New Roman" w:cs="Times New Roman"/>
        </w:rPr>
        <w:fldChar w:fldCharType="end"/>
      </w:r>
      <w:r>
        <w:rPr>
          <w:rFonts w:ascii="Times New Roman" w:hAnsi="Times New Roman" w:cs="Times New Roman"/>
        </w:rPr>
        <w:fldChar w:fldCharType="begin" w:fldLock="1"/>
      </w:r>
      <w:r>
        <w:rPr>
          <w:rFonts w:ascii="Times New Roman" w:hAnsi="Times New Roman" w:cs="Times New Roman"/>
        </w:rPr>
        <w:instrText>ADDIN CSL_CITATION {"citationItems":[{"id":"ITEM-1","itemData":{"DOI":"10.13039/501100011033","ISSN":"07195443","abstract":"This article examines the beliefs and attitudes of 108 Canarian speakers towards the Chilean linguistic variety. The research is framed in the second phase of the Project for the study of beliefs and attitudes towards Spanish varieties in the XXI century (PRECAVES XXI), with a uniform stratification of the sample in the variables gender, age and educational level. The results show a scarce recognition of the Chilean variety, as well as a tendency to confuse it with their own. The Canarians also show a high esteem for Chilean speech, both in the direct valuation of the voices and in the indirect valuation through the characteristics of the speakers, the country and the culture. There is, however, a greater valuation of qualities related to human and affective dimensions, as opposed to those linked to status and social advancement. Women, university educated people and second-generation speakers exhibit generally higher evaluations of the Chilean variety.","author":[{"dropping-particle":"","family":"Hernández","given":"Marta Samper","non-dropping-particle":"","parse-names":false,"suffix":""}],"container-title":"Lenguas Modernas","id":"ITEM-1","issue":"62","issued":{"date-parts":[["2023"]]},"page":"183-209","publisher":"Universidad de Chile","title":"Beliefs and attitudes of canarians towards the chilean linguistic variety","type":"article-journal"},"uris":["http://www.mendeley.com/documents/?uuid=5f015271-f677-3d2d-a063-37f25524b942"]}],"mendeley":{"formattedCitation":"(Hernández, 2023)","plainTextFormattedCitation":"(Hernández, 2023)","previouslyFormattedCitation":"(Hernández, 2023)"},"properties":{"noteIndex":0},"schema":"https://github.com/citation-style-language/schema/raw/master/csl-citation.json"}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bCs/>
          <w:noProof/>
        </w:rPr>
        <w:t>)</w:t>
      </w:r>
      <w:r>
        <w:rPr>
          <w:rFonts w:ascii="Times New Roman" w:hAnsi="Times New Roman" w:cs="Times New Roman"/>
          <w:b/>
          <w:bCs/>
        </w:rPr>
        <w:fldChar w:fldCharType="end"/>
      </w:r>
      <w:r>
        <w:rPr>
          <w:rFonts w:ascii="Times New Roman" w:hAnsi="Times New Roman" w:cs="Times New Roman"/>
        </w:rPr>
        <w:t>. Its enduring popularity rests on several strengths: it is simple to compute, requires only two widely available spectral bands, is comparable across sensors and dates, and correlates well with green biomass, leaf area and canopy cover</w:t>
      </w:r>
      <w:r>
        <w:rPr>
          <w:rFonts w:ascii="Times New Roman" w:hAnsi="Times New Roman" w:cs="Times New Roman"/>
          <w:b/>
          <w:bCs/>
        </w:rPr>
        <w:t xml:space="preserve"> </w:t>
      </w:r>
      <w:r>
        <w:rPr>
          <w:rFonts w:ascii="Times New Roman" w:hAnsi="Times New Roman" w:cs="Times New Roman"/>
          <w:b/>
          <w:bCs/>
        </w:rPr>
        <w:fldChar w:fldCharType="begin" w:fldLock="1"/>
      </w:r>
      <w:r>
        <w:rPr>
          <w:rFonts w:ascii="Times New Roman" w:hAnsi="Times New Roman" w:cs="Times New Roman"/>
          <w:b/>
          <w:bCs/>
        </w:rPr>
        <w:instrText>ADDIN CSL_CITATION {"citationItems":[{"id":"ITEM-1","itemData":{"DOI":"10.3390/rs12244021","ISSN":"20724292","abstract":"Diverse freshwater biological communities are threatened by invasive aquatic alien plant (IAAP) invasions and consequently, cost countries millions to manage. The effective management of these IAAP invasions necessitates their frequent and reliable monitoring across a broad extent and over a long-term. Here, we introduce and apply a monitoring approach that meet these criteria and is based on a three-stage hierarchical classification to firstly detect water, then aquatic vegetation and finally water hyacinth (Pontederia crassipes, previously Eichhornia crassipes), the most damaging IAAP species within many regions of the world. Our approach circumvents many challenges that restricted previous satellite-based water hyacinth monitoring attempts to smaller study areas. The method is executable on Google Earth Engine (GEE) extemporaneously and utilizes free, medium resolution (10–30 m) multispectral Earth Observation (EO) data from either Landsat-8 or Sentinel-2. The automated workflow employs a novel simple thresholding approach to obtain reliable boundaries for open-water, which are then used to limit the area for aquatic vegetation detection. Subsequently, a random forest modelling approach is used to discriminate water hyacinth from other detected aquatic vegetation using the eight most important variables. This study represents the first national scale EO-derived water hyacinth distribution map. Based on our model, it is estimated that this pervasive IAAP covered 417.74 km2 across South Africa in 2013. Additionally, we show encouraging results for utilizing the automatically derived aquatic vegetation masks to fit and evaluate a convolutional neural network-based semantic segmentation model, removing the need for detection of surface water extents that may not always be available at the required spatio-temporal resolution or accuracy. The water hyacinth species discrimination has a 0.80, or greater, overall accuracy (0.93), F1-score (0.87) and Matthews correlation coefficient (0.80) based on 98 widely distributed field sites across South Africa. The results suggest that the introduced workflow is suitable for monitoring changes in the extent of open water, aquatic vegetation, and water hyacinth for individual waterbodies or across national extents. The GEE code can be accessed here.","author":[{"dropping-particle":"","family":"Singh","given":"Geethen","non-dropping-particle":"","parse-names":false,"suffix":""},{"dropping-particle":"","family":"Reynolds","given":"Chevonne","non-dropping-particle":"","parse-names":false,"suffix":""},{"dropping-particle":"","family":"Byrne","given":"Marcus","non-dropping-particle":"","parse-names":false,"suffix":""},{"dropping-particle":"","family":"Rosman","given":"Benjamin","non-dropping-particle":"","parse-names":false,"suffix":""}],"container-title":"Remote Sensing","id":"ITEM-1","issue":"24","issued":{"date-parts":[["2020","12","2"]]},"page":"1-24","publisher":"MDPI AG","title":"A remote sensing method to monitor water, aquatic vegetation, and invasive water hyacinth at national extents","type":"article-journal","volume":"12"},"uris":["http://www.mendeley.com/documents/?uuid=ca0efab7-de66-3dff-adf9-88c21ed4b8f3"]}],"mendeley":{"formattedCitation":"(Singh et al., 2020)","plainTextFormattedCitation":"(Singh et al., 2020)","previouslyFormattedCitation":"(Singh et al., 2020)"},"properties":{"noteIndex":0},"schema":"https://github.com/citation-style-language/schema/raw/master/csl-citation.json"}</w:instrText>
      </w:r>
      <w:r>
        <w:rPr>
          <w:rFonts w:ascii="Times New Roman" w:hAnsi="Times New Roman" w:cs="Times New Roman"/>
          <w:b/>
          <w:bCs/>
        </w:rPr>
        <w:fldChar w:fldCharType="separate"/>
      </w:r>
      <w:r>
        <w:rPr>
          <w:rFonts w:ascii="Times New Roman" w:hAnsi="Times New Roman" w:cs="Times New Roman"/>
          <w:noProof/>
        </w:rPr>
        <w:t>(Singh et al., 2020)</w:t>
      </w:r>
      <w:r>
        <w:rPr>
          <w:rFonts w:ascii="Times New Roman" w:hAnsi="Times New Roman" w:cs="Times New Roman"/>
          <w:b/>
          <w:bCs/>
        </w:rPr>
        <w:fldChar w:fldCharType="end"/>
      </w:r>
      <w:r>
        <w:rPr>
          <w:rFonts w:ascii="Times New Roman" w:hAnsi="Times New Roman" w:cs="Times New Roman"/>
        </w:rPr>
        <w:t>. Decades of terrestrial application in agriculture, forestry, rangeland assessment and drought monitoring have produced a large body of methodological experience and threshold conventions that can be transferred, with care, to aquatic contexts. This maturity is a key reason NDVI remains a natural first choice for mapping aquatic weeds, even though, as discussed below, the aquatic environment introduces complications that a single index cannot fully resolve.</w:t>
      </w:r>
    </w:p>
    <w:p w14:paraId="6D871BA4" w14:textId="77777777" w:rsidR="00CF0628" w:rsidRPr="00352C77" w:rsidRDefault="00CF0628" w:rsidP="00A623D5">
      <w:pPr>
        <w:pStyle w:val="Heading2"/>
        <w:spacing w:line="360" w:lineRule="auto"/>
        <w:ind w:left="720"/>
        <w:rPr>
          <w:rFonts w:ascii="Times New Roman" w:hAnsi="Times New Roman" w:cs="Times New Roman"/>
        </w:rPr>
      </w:pPr>
      <w:bookmarkStart w:id="43" w:name="_Toc234133571"/>
      <w:bookmarkStart w:id="44" w:name="_Toc237884285"/>
      <w:r>
        <w:rPr>
          <w:rFonts w:ascii="Times New Roman" w:hAnsi="Times New Roman" w:cs="Times New Roman"/>
        </w:rPr>
        <w:t>2.3 Other Spectral Indices Used in Water and Aquatic Vegetation Monitoring</w:t>
      </w:r>
      <w:bookmarkEnd w:id="43"/>
      <w:bookmarkEnd w:id="44"/>
    </w:p>
    <w:p w14:paraId="733C458F" w14:textId="77777777" w:rsidR="00CF0628" w:rsidRPr="00352C77" w:rsidRDefault="00CF0628" w:rsidP="00A623D5">
      <w:pPr>
        <w:pStyle w:val="ListParagraph"/>
        <w:spacing w:after="160" w:line="360" w:lineRule="auto"/>
        <w:ind w:left="720"/>
        <w:jc w:val="both"/>
        <w:rPr>
          <w:rFonts w:ascii="Times New Roman" w:hAnsi="Times New Roman" w:cs="Times New Roman"/>
        </w:rPr>
      </w:pPr>
      <w:r>
        <w:rPr>
          <w:rFonts w:ascii="Times New Roman" w:hAnsi="Times New Roman" w:cs="Times New Roman"/>
        </w:rPr>
        <w:t>Although NDVI is the most widely used vegetation index, it is only one member of a broad family of spectral indices developed for water and vegetation monitoring. Because NDVI alone cannot reliably separate weeds from open water under all conditions, researchers commonly complement it with water-detection indices, with enhanced or soil-adjusted vegetation indices, or with indices designed specifically for aquatic vegetation and algae. This section reviews the most relevant of these indices and explains why NDWI was selected to accompany NDVI in the present study.</w:t>
      </w:r>
    </w:p>
    <w:p w14:paraId="6A456260" w14:textId="77777777" w:rsidR="00CF0628" w:rsidRPr="00352C77" w:rsidRDefault="00CF0628" w:rsidP="00A623D5">
      <w:pPr>
        <w:pStyle w:val="Heading3"/>
        <w:spacing w:line="360" w:lineRule="auto"/>
        <w:ind w:left="720"/>
        <w:rPr>
          <w:rFonts w:ascii="Times New Roman" w:hAnsi="Times New Roman" w:cs="Times New Roman"/>
        </w:rPr>
      </w:pPr>
      <w:bookmarkStart w:id="45" w:name="_Toc234133572"/>
      <w:bookmarkStart w:id="46" w:name="_Toc237884286"/>
      <w:r>
        <w:rPr>
          <w:rFonts w:ascii="Times New Roman" w:hAnsi="Times New Roman" w:cs="Times New Roman"/>
        </w:rPr>
        <w:t>2.3.1 Water-Detection Indices: NDWI and MNDWI</w:t>
      </w:r>
      <w:bookmarkEnd w:id="45"/>
      <w:bookmarkEnd w:id="46"/>
    </w:p>
    <w:p w14:paraId="02DBFE94" w14:textId="77777777" w:rsidR="00CF0628" w:rsidRPr="00352C77" w:rsidRDefault="00CF0628" w:rsidP="00A623D5">
      <w:pPr>
        <w:pStyle w:val="ListParagraph"/>
        <w:spacing w:after="160" w:line="360" w:lineRule="auto"/>
        <w:ind w:left="720"/>
        <w:jc w:val="both"/>
        <w:rPr>
          <w:rFonts w:ascii="Times New Roman" w:hAnsi="Times New Roman" w:cs="Times New Roman"/>
        </w:rPr>
      </w:pPr>
      <w:r>
        <w:rPr>
          <w:rFonts w:ascii="Times New Roman" w:hAnsi="Times New Roman" w:cs="Times New Roman"/>
        </w:rPr>
        <w:t>The Normalized Difference Water Index (NDWI) was developed to enhance open-water features and suppress vegetation and soil signals, effectively performing the mirror image of NDVI. Two influential formulations exist. McFeeters (1996) defined NDWI</w:t>
      </w:r>
      <w:r>
        <w:rPr>
          <w:rFonts w:ascii="Times New Roman" w:hAnsi="Times New Roman" w:cs="Times New Roman"/>
        </w:rPr>
        <w:fldChar w:fldCharType="begin" w:fldLock="1"/>
      </w:r>
      <w:r>
        <w:rPr>
          <w:rFonts w:ascii="Times New Roman" w:hAnsi="Times New Roman" w:cs="Times New Roman"/>
        </w:rPr>
        <w:instrText>ADDIN CSL_CITATION {"citationItems":[{"id":"ITEM-1","itemData":{"DOI":"10.1080/01431169608948714","ISSN":"13665901","abstract":"The Normalized Difference Water Index (NDWI) is a new method that has been developed to delineate open water features and enhance their presence in remotely-sensed digital imagery. The NDWI makes use of reflected near-infrared radiation and visible green light to enhance the presence of such features while eliminating the presence of soil and terrestrial vegetation features. It is suggested that the NDWI may also provide researchers with turbidity estimations of water bodies using remotely-sensed digital data. © 1996 Taylor &amp; Francis Ltd.","author":[{"dropping-particle":"","family":"McFeeters","given":"S. K.","non-dropping-particle":"","parse-names":false,"suffix":""}],"container-title":"International Journal of Remote Sensing","id":"ITEM-1","issue":"7","issued":{"date-parts":[["1996"]]},"page":"1425-1432","title":"The use of the Normalized Difference Water Index (NDWI) in the delineation of open water features","type":"article-journal","volume":"17"},"uris":["http://www.mendeley.com/documents/?uuid=467538dd-e39a-4dc9-b951-2945e37e7ad1"]}],"mendeley":{"formattedCitation":"(McFeeters, 1996)","plainTextFormattedCitation":"(McFeeters, 1996)","previouslyFormattedCitation":"(McFeeters, 1996)"},"properties":{"noteIndex":0},"schema":"https://github.com/citation-style-language/schema/raw/master/csl-citation.json"}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using the green and near-infrared bands, (Green - NIR) / (Green + NIR), to delineate open water in </w:t>
      </w:r>
      <w:r>
        <w:rPr>
          <w:rFonts w:ascii="Times New Roman" w:hAnsi="Times New Roman" w:cs="Times New Roman"/>
        </w:rPr>
        <w:lastRenderedPageBreak/>
        <w:t>land-cover mapping, while Gao (1996) proposed an NDWI</w:t>
      </w:r>
      <w:r>
        <w:rPr>
          <w:rFonts w:ascii="Times New Roman" w:hAnsi="Times New Roman" w:cs="Times New Roman"/>
        </w:rPr>
        <w:fldChar w:fldCharType="begin" w:fldLock="1"/>
      </w:r>
      <w:r>
        <w:rPr>
          <w:rFonts w:ascii="Times New Roman" w:hAnsi="Times New Roman" w:cs="Times New Roman"/>
        </w:rPr>
        <w:instrText>ADDIN CSL_CITATION {"citationItems":[{"id":"ITEM-1","itemData":{"DOI":"10.1016/S0034-4257(96)00067-3","ISSN":"00344257","abstract":"The normalized difference vegetation index (NDVI) has been widely used for remote sensing of vegetation for many years. This index uses radiances or reflectances from a red channel around 0.66 μm and a near-IR channel around 0.86 μm. The red channel is located in the strong chlorophyll absorption region, while the near-IR channel is located in the high reflectance plateau of vegetation canopies. The two channels sense very different depths through vegetation canopies. In this article, another index, namely the normalized difference water index (NDWI), is proposed for remote sensing of vegetation liquid water from space. NDWI is defined as (p(0.86 μm) - ρ(1.24 μm))/(ρ(0.86 μm) + ρ(1.24 μm)), where ρ represents the radiance in reflectance units. Both the 0.86-μm and the 1.24-μm channels are located in the high reflectance plateau of vegetation canopies. They sense similar depths through vegetation canopies. They sense similar depths through vegetation canopies. Absorption by vegetation liquid water near 0.86 μm is negligible. Weak liquid absorption at 1.24 μm is present. Canopy scattering enhances the water absorption. As a result, NDWI is sensitive to changes in liquid water content of vegetation canopies. Atmospheric aerosol scattering effects in the 0.86-1.24 μm region are weak. NDWI is less sensitive to atmospheric effects than NDVI. NDWI does not remove completely the background soil reflectance effects, similar to NDVI. Because the information about vegetation canopies contained in the 1.24-μm channel is very different from that contained in the red channel near 0.66 μm. NDWI should be considered as an independent vegetation index. It is complementary to, not a substitute for NDVI. Laboratory-measured reflectance of stacked green leaves, and spectral imaging data acquired with Airborne Visible Infrared Imaging Spectrometer (AVIRIS) over Jasper Ridge in California and the High Plains in northern Colorado, are used to demonstrate the usefulness of NDWI. Comparisons between NDWI and NDVI images are also given.","author":[{"dropping-particle":"","family":"Gao","given":"Bo Cai","non-dropping-particle":"","parse-names":false,"suffix":""}],"container-title":"Remote Sensing of Environment","id":"ITEM-1","issue":"3","issued":{"date-parts":[["1996"]]},"page":"257-266","title":"NDWI - A normalized difference water index for remote sensing of vegetation liquid water from space","type":"article-journal","volume":"58"},"uris":["http://www.mendeley.com/documents/?uuid=9e13ef2e-c797-4f76-a142-82f794282b72"]}],"mendeley":{"formattedCitation":"(Gao, 1996)","plainTextFormattedCitation":"(Gao, 1996)","previouslyFormattedCitation":"(Gao, 1996)"},"properties":{"noteIndex":0},"schema":"https://github.com/citation-style-language/schema/raw/master/csl-citation.json"}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based on the near-infrared and short-wave infrared bands to estimate vegetation liquid-water content. Because the green-NIR NDWI responds oppositely to vegetation and water, it is strongly and inversely correlated with NDVI and is frequently paired with it to improve discrimination in mixed water-vegetation environments. Xu (2006) subsequently introduced</w:t>
      </w:r>
      <w:r>
        <w:rPr>
          <w:rFonts w:ascii="Times New Roman" w:hAnsi="Times New Roman" w:cs="Times New Roman"/>
        </w:rPr>
        <w:fldChar w:fldCharType="begin" w:fldLock="1"/>
      </w:r>
      <w:r>
        <w:rPr>
          <w:rFonts w:ascii="Times New Roman" w:hAnsi="Times New Roman" w:cs="Times New Roman"/>
        </w:rPr>
        <w:instrText>ADDIN CSL_CITATION {"citationItems":[{"id":"ITEM-1","itemData":{"DOI":"10.1080/01431160600589179","ISSN":"13665901","abstract":"The normalized difference water index (NDWI) of McFeeters (1996) was modified by substitution of a middle infrared band such as Landsat TM band 5 for the near infrared band used in the NDWI. The modified NDWI (MNDWI) can enhance open water features while efficiently suppressing and even removing built-up land noise as well as vegetation and soil noise. The enhanced water information using the NDWI is often mixed with built-up land noise and the area of extracted water is thus overestimated. Accordingly, the MNDWI is more suitable for enhancing and extracting water information for a water region with a background dominated by built-up land areas because of its advantage in reducing and even removing built-up land noise over the NDWI.","author":[{"dropping-particle":"","family":"Xu","given":"Hanqiu","non-dropping-particle":"","parse-names":false,"suffix":""}],"container-title":"International Journal of Remote Sensing","id":"ITEM-1","issue":"14","issued":{"date-parts":[["2006"]]},"page":"3025-3033","title":"Modification of normalised difference water index (NDWI) to enhance open water features in remotely sensed imagery","type":"article-journal","volume":"27"},"uris":["http://www.mendeley.com/documents/?uuid=d236cb7e-d185-420a-8adf-72c7ef7a05e9"]}],"mendeley":{"formattedCitation":"(Xu, 2006)","plainTextFormattedCitation":"(Xu, 2006)","previouslyFormattedCitation":"(Xu, 2006)"},"properties":{"noteIndex":0},"schema":"https://github.com/citation-style-language/schema/raw/master/csl-citation.json"}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the Modified NDWI (MNDWI), replacing the near-infrared band with a short-wave infrared band to reduce noise from built-up land, soil and vegetation and to improve open-water delineation in complex landscapes. Together these indices provide a robust means of separating water from land and of cross-checking vegetation classifications derived from NDVI.</w:t>
      </w:r>
    </w:p>
    <w:p w14:paraId="4CC2375A" w14:textId="77777777" w:rsidR="00CF0628" w:rsidRPr="00352C77" w:rsidRDefault="00CF0628" w:rsidP="00A623D5">
      <w:pPr>
        <w:pStyle w:val="Heading3"/>
        <w:spacing w:line="360" w:lineRule="auto"/>
        <w:ind w:left="720"/>
        <w:rPr>
          <w:rFonts w:ascii="Times New Roman" w:hAnsi="Times New Roman" w:cs="Times New Roman"/>
        </w:rPr>
      </w:pPr>
      <w:bookmarkStart w:id="47" w:name="_Toc234133573"/>
      <w:bookmarkStart w:id="48" w:name="_Toc237884287"/>
      <w:r>
        <w:rPr>
          <w:rFonts w:ascii="Times New Roman" w:hAnsi="Times New Roman" w:cs="Times New Roman"/>
        </w:rPr>
        <w:t>2.3.2 Enhanced and Soil-Adjusted Vegetation Indices: EVI and SAVI</w:t>
      </w:r>
      <w:bookmarkEnd w:id="47"/>
      <w:bookmarkEnd w:id="48"/>
    </w:p>
    <w:p w14:paraId="51D24B64" w14:textId="77777777" w:rsidR="00CF0628" w:rsidRPr="00352C77" w:rsidRDefault="00CF0628" w:rsidP="00A623D5">
      <w:pPr>
        <w:pStyle w:val="ListParagraph"/>
        <w:spacing w:after="160" w:line="360" w:lineRule="auto"/>
        <w:ind w:left="720"/>
        <w:jc w:val="both"/>
        <w:rPr>
          <w:rFonts w:ascii="Times New Roman" w:hAnsi="Times New Roman" w:cs="Times New Roman"/>
        </w:rPr>
      </w:pPr>
      <w:r>
        <w:rPr>
          <w:rFonts w:ascii="Times New Roman" w:hAnsi="Times New Roman" w:cs="Times New Roman"/>
        </w:rPr>
        <w:t>Two widely used refinements of NDVI address its known weaknesses. The Soil-Adjusted Vegetation Index (SAVI) introduced by A. R. Huete (1988) adds</w:t>
      </w:r>
      <w:r>
        <w:rPr>
          <w:rFonts w:ascii="Times New Roman" w:hAnsi="Times New Roman" w:cs="Times New Roman"/>
        </w:rPr>
        <w:fldChar w:fldCharType="begin" w:fldLock="1"/>
      </w:r>
      <w:r>
        <w:rPr>
          <w:rFonts w:ascii="Times New Roman" w:hAnsi="Times New Roman" w:cs="Times New Roman"/>
        </w:rPr>
        <w:instrText>ADDIN CSL_CITATION {"citationItems":[{"id":"ITEM-1","itemData":{"DOI":"10.1016/0034-4257(88)90106-X","ISSN":"00344257","abstract":"A transformation technique is presented to minimize soil brightness influences from spectral vegetation indices involving red and near-infrared (NIR) wavelengths. Graphically, the transformation involves a shifting of the origin of reflectance spectra plotted in NIR-red wavelength space to account for first-order soil-vegetation interactions and differential red and NIR flux extinction through vegetated canopies. For cotton (Gossypium hirsutum L. var DPI-70) and range grass (Eragrostics lehmanniana Nees) canopies, underlain with different soil backgrounds, the transformation nearly eliminated soil-induced variations in vegetation indices. A physical basis for the soil-adjusted vegetation index (SAVI) is subsequently presented. The SAVI was found to be an important step toward the establishment of simple °lobal\" that can describe dynamic soil-vegetation systems from remotely sensed data. © 1988.","author":[{"dropping-particle":"","family":"Huete","given":"A. R.","non-dropping-particle":"","parse-names":false,"suffix":""}],"container-title":"Remote Sensing of Environment","id":"ITEM-1","issue":"3","issued":{"date-parts":[["1988"]]},"page":"295-309","title":"A soil-adjusted vegetation index (SAVI)","type":"article-journal","volume":"25"},"uris":["http://www.mendeley.com/documents/?uuid=53c1228f-75ae-4835-86a5-91d49a1d9ee3"]}],"mendeley":{"formattedCitation":"(A. R. Huete, 1988)","plainTextFormattedCitation":"(A. R. Huete, 1988)","previouslyFormattedCitation":"(A. R. Huete, 1988)"},"properties":{"noteIndex":0},"schema":"https://github.com/citation-style-language/schema/raw/master/csl-citation.json"}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a soil-brightness correction factor to reduce the influence of background reflectance in areas of sparse cover, which is relevant where emergent weeds are mixed with exposed sediment or wet soil along a shoreline. The Enhanced Vegetation Index (EVI) developed for the MODIS sensor improves sensitivity in high-biomass conditions and reduces atmospheric and canopy-background effects by incorporating the blue band and coefficients that correct for aerosol scattering </w:t>
      </w:r>
      <w:r>
        <w:rPr>
          <w:rFonts w:ascii="Times New Roman" w:hAnsi="Times New Roman" w:cs="Times New Roman"/>
          <w:b/>
          <w:bCs/>
        </w:rPr>
        <w:fldChar w:fldCharType="begin" w:fldLock="1"/>
      </w:r>
      <w:r>
        <w:rPr>
          <w:rFonts w:ascii="Times New Roman" w:hAnsi="Times New Roman" w:cs="Times New Roman"/>
          <w:b/>
          <w:bCs/>
        </w:rPr>
        <w:instrText>ADDIN CSL_CITATION {"citationItems":[{"id":"ITEM-1","itemData":{"DOI":"10.1016/S0034-4257(02)00096-2","ISSN":"00344257","abstract":"We evaluated the initial 12 months of vegetation index product availability from the Moderate Resolution Imaging Spectroradiometer (MODIS) on board the Earth Observing System-Terra platform. Two MODIS vegetation indices (VI), the normalized difference vegetation index (NDVI) and enhanced vegetation index (EVI), are produced at 1-km and 500-m resolutions and 16-day compositing periods. This paper presents an initial analysis of the MODIS NDVI and EVI performance from both radiometric and biophysical perspectives. We utilize a combination of site-intensive and regionally extensive approaches to demonstrate the performance and validity of the two indices. Our results showed a good correspondence between airborne-measured, top-of-canopy reflectances and VI values with those from the MODIS sensor at four intensively measured test sites representing semi-arid grass/shrub, savanna, and tropical forest biomes. Simultaneously derived field biophysical measures also demonstrated the scientific utility of the MODIS VI. Multitemporal profiles of the MODIS VIs over numerous biome types in North and South America well represented their seasonal phenologies. Comparisons of the MODIS-NDVI with the NOAA-14, 1-km AVHRR-NDVI temporal profiles showed that the MODIS-based index performed with higher fidelity. The dynamic range of the MODIS VIs are presented and their sensitivities in discriminating vegetation differences are evaluated in sparse and dense vegetation areas. We found the NDVI to asymptotically saturate in high biomass regions such as in the Amazon while the EVI remained sensitive to canopy variations. © 2002 Elsevier Science Inc. All rights reserved.","author":[{"dropping-particle":"","family":"Huete","given":"A.","non-dropping-particle":"","parse-names":false,"suffix":""},{"dropping-particle":"","family":"Didan","given":"K.","non-dropping-particle":"","parse-names":false,"suffix":""},{"dropping-particle":"","family":"Miura","given":"T.","non-dropping-particle":"","parse-names":false,"suffix":""},{"dropping-particle":"","family":"Rodriguez","given":"E. P.","non-dropping-particle":"","parse-names":false,"suffix":""},{"dropping-particle":"","family":"Gao","given":"X.","non-dropping-particle":"","parse-names":false,"suffix":""},{"dropping-particle":"","family":"Ferreira","given":"L. G.","non-dropping-particle":"","parse-names":false,"suffix":""}],"container-title":"Remote Sensing of Environment","id":"ITEM-1","issue":"1-2","issued":{"date-parts":[["2002"]]},"page":"195-213","title":"Overview of the radiometric and biophysical performance of the MODIS vegetation indices","type":"article-journal","volume":"83"},"uris":["http://www.mendeley.com/documents/?uuid=cf9a9b74-af9b-4676-bf0d-a513a1e1914d"]}],"mendeley":{"formattedCitation":"(A. Huete et al., 2002)","plainTextFormattedCitation":"(A. Huete et al., 2002)","previouslyFormattedCitation":"(A. Huete et al., 2002)"},"properties":{"noteIndex":0},"schema":"https://github.com/citation-style-language/schema/raw/master/csl-citation.json"}</w:instrText>
      </w:r>
      <w:r>
        <w:rPr>
          <w:rFonts w:ascii="Times New Roman" w:hAnsi="Times New Roman" w:cs="Times New Roman"/>
          <w:b/>
          <w:bCs/>
        </w:rPr>
        <w:fldChar w:fldCharType="separate"/>
      </w:r>
      <w:r>
        <w:rPr>
          <w:rFonts w:ascii="Times New Roman" w:hAnsi="Times New Roman" w:cs="Times New Roman"/>
          <w:noProof/>
        </w:rPr>
        <w:t>(A. Huete et al., 2002)</w:t>
      </w:r>
      <w:r>
        <w:rPr>
          <w:rFonts w:ascii="Times New Roman" w:hAnsi="Times New Roman" w:cs="Times New Roman"/>
          <w:b/>
          <w:bCs/>
        </w:rPr>
        <w:fldChar w:fldCharType="end"/>
      </w:r>
      <w:r>
        <w:rPr>
          <w:rFonts w:ascii="Times New Roman" w:hAnsi="Times New Roman" w:cs="Times New Roman"/>
        </w:rPr>
        <w:t>. In dense weed mats, where NDVI tends to saturate, EVI can preserve more of the variation in canopy density. Although neither index is water-specific, both illustrate how the basic NDVI concept has been adapted to overcome saturation and background-contamination problems that also arise in aquatic settings.</w:t>
      </w:r>
    </w:p>
    <w:p w14:paraId="0BA3280D" w14:textId="77777777" w:rsidR="00CF0628" w:rsidRPr="00352C77" w:rsidRDefault="00CF0628" w:rsidP="00A623D5">
      <w:pPr>
        <w:pStyle w:val="Heading3"/>
        <w:spacing w:line="360" w:lineRule="auto"/>
        <w:ind w:left="720"/>
        <w:rPr>
          <w:rFonts w:ascii="Times New Roman" w:hAnsi="Times New Roman" w:cs="Times New Roman"/>
        </w:rPr>
      </w:pPr>
      <w:bookmarkStart w:id="49" w:name="_Toc234133574"/>
      <w:bookmarkStart w:id="50" w:name="_Toc237884288"/>
      <w:r>
        <w:rPr>
          <w:rFonts w:ascii="Times New Roman" w:hAnsi="Times New Roman" w:cs="Times New Roman"/>
        </w:rPr>
        <w:t>2.3.3 Indices Specialised for Aquatic Vegetation and Algae: FAI, NDAVI and WAVI</w:t>
      </w:r>
      <w:bookmarkEnd w:id="49"/>
      <w:bookmarkEnd w:id="50"/>
    </w:p>
    <w:p w14:paraId="0D4443B5" w14:textId="77777777" w:rsidR="00CF0628" w:rsidRPr="00352C77" w:rsidRDefault="00CF0628" w:rsidP="00A623D5">
      <w:pPr>
        <w:pStyle w:val="ListParagraph"/>
        <w:spacing w:after="160" w:line="360" w:lineRule="auto"/>
        <w:ind w:left="720"/>
        <w:jc w:val="both"/>
        <w:rPr>
          <w:rFonts w:ascii="Times New Roman" w:hAnsi="Times New Roman" w:cs="Times New Roman"/>
        </w:rPr>
      </w:pPr>
      <w:r>
        <w:rPr>
          <w:rFonts w:ascii="Times New Roman" w:hAnsi="Times New Roman" w:cs="Times New Roman"/>
        </w:rPr>
        <w:t>A further group of indices has been designed specifically for the aquatic environment. The Floating Algae Index (FAI) proposed by Hu (2009) uses</w:t>
      </w:r>
      <w:r>
        <w:rPr>
          <w:rFonts w:ascii="Times New Roman" w:hAnsi="Times New Roman" w:cs="Times New Roman"/>
        </w:rPr>
        <w:fldChar w:fldCharType="begin" w:fldLock="1"/>
      </w:r>
      <w:r>
        <w:rPr>
          <w:rFonts w:ascii="Times New Roman" w:hAnsi="Times New Roman" w:cs="Times New Roman"/>
        </w:rPr>
        <w:instrText>ADDIN CSL_CITATION {"citationItems":[{"id":"ITEM-1","itemData":{"DOI":"10.1016/j.rse.2009.05.012","ISSN":"00344257","abstract":"Various types of floating algae have been reported in open oceans and coastal waters, yet accurate and timely detection of these relatively small surface features using traditional satellite data and algorithms has been difficult or even impossible due to lack of spatial resolution, coverage, revisit frequency, or due to inherent algorithm limitations. Here, a simple ocean color index, namely the Floating Algae Index (FAI), is developed and used to detect floating algae in open ocean environments using the medium-resolution (250- and 500-m) data from operational MODIS (Moderate Resolution Imaging Spectroradiometer) instruments. FAI is defined as the difference between reflectance at 859 nm (vegetation \"red edge\") and a linear baseline between the red band (645 nm) and short-wave infrared band (1240 or 1640 nm). Through data comparison and model simulations, FAI has shown advantages over the traditional NDVI (Normalized Difference Vegetation Index) or EVI (Enhanced Vegetation Index) because FAI is less sensitive to changes in environmental and observing conditions (aerosol type and thickness, solar/viewing geometry, and sun glint) and can \"see\" through thin clouds. The baseline subtraction method provides a simple yet effective means for atmospheric correction, through which floating algae can be easily recognized and delineated in various ocean waters, including the North Atlantic Ocean, Gulf of Mexico, Yellow Sea, and East China Sea. Because similar spectral bands are available on many existing and planned satellite sensors such as Landsat TM/ETM+ and VIIRS (Visible Infrared Imager/Radiometer Suite), the FAI concept is extendable to establish a long-term record of these ecologically important ocean plants. © 2009 Elsevier Inc. All rights reserved.","author":[{"dropping-particle":"","family":"Hu","given":"Chuanmin","non-dropping-particle":"","parse-names":false,"suffix":""}],"container-title":"Remote Sensing of Environment","id":"ITEM-1","issue":"10","issued":{"date-parts":[["2009"]]},"page":"2118-2129","title":"A novel ocean color index to detect floating algae in the global oceans","type":"article-journal","volume":"113"},"uris":["http://www.mendeley.com/documents/?uuid=fda529c1-3566-418e-9d8e-5dbdb6414618"]}],"mendeley":{"formattedCitation":"(Hu, 2009)","plainTextFormattedCitation":"(Hu, 2009)","previouslyFormattedCitation":"(Hu, 2009)"},"properties":{"noteIndex":0},"schema":"https://github.com/citation-style-language/schema/raw/master/csl-citation.json"}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a baseline-subtraction approach across the red, near-infrared and short-wave infrared bands to detect floating algae and vegetation while remaining relatively insensitive to atmospheric and sun-glint effects, making it valuable for distinguishing surface blooms from macrophytes. Indices developed explicitly for macrophyte mapping, such as the Normalized Difference Aquatic Vegetation Index (NDAVI) and the Water Adjusted Vegetation Index (WAVI), reformulate the vegetation-index concept to account for the strong absorption of water in the background, </w:t>
      </w:r>
      <w:r>
        <w:rPr>
          <w:rFonts w:ascii="Times New Roman" w:hAnsi="Times New Roman" w:cs="Times New Roman"/>
        </w:rPr>
        <w:lastRenderedPageBreak/>
        <w:t xml:space="preserve">improving the detection of partially submerged and emergent vegetation over open water </w:t>
      </w:r>
      <w:r>
        <w:rPr>
          <w:rFonts w:ascii="Times New Roman" w:hAnsi="Times New Roman" w:cs="Times New Roman"/>
        </w:rPr>
        <w:fldChar w:fldCharType="begin" w:fldLock="1"/>
      </w:r>
      <w:r>
        <w:rPr>
          <w:rFonts w:ascii="Times New Roman" w:hAnsi="Times New Roman" w:cs="Times New Roman"/>
        </w:rPr>
        <w:instrText>ADDIN CSL_CITATION {"citationItems":[{"id":"ITEM-1","itemData":{"DOI":"10.3389/fevo.2021.631338","ISSN":"2296701X","abstract":"Water hyacinth (Pontederia crassipes, also referred to as Eichhornia crassipes) is one of the most invasive weed species in the world, causing significant adverse economic and ecological impacts, particularly in tropical and sub-tropical regions. Large scale real-time monitoring of areas of chronic infestation is critical to formulate effective control strategies for this fast spreading weed species. Assessment of revenue generation potential of the harvested water hyacinth biomass also requires enhanced understanding to estimate the biomass yield potential for a given water body. Modern remote sensing technologies can greatly enhance our capacity to understand, monitor, and estimate water hyacinth infestation within inland as well as coastal freshwater bodies. Readily available satellite imagery with high spectral, temporal, and spatial resolution, along with conventional and modern machine learning techniques for automated image analysis, can enable discrimination of water hyacinth infestation from other floating or submerged vegetation. Remote sensing can potentially be complemented with an array of other technology-based methods, including aerial surveys, ground-level sensors, and citizen science, to provide comprehensive, timely, and accurate monitoring. This review discusses the latest developments in the use of remote sensing and other technologies to monitor water hyacinth infestation, and proposes a novel, multi-modal approach that combines the strengths of the different methods.","author":[{"dropping-particle":"","family":"Datta","given":"Aviraj","non-dropping-particle":"","parse-names":false,"suffix":""},{"dropping-particle":"","family":"Maharaj","given":"Savitri","non-dropping-particle":"","parse-names":false,"suffix":""},{"dropping-particle":"","family":"Prabhu","given":"G. Nagendra","non-dropping-particle":"","parse-names":false,"suffix":""},{"dropping-particle":"","family":"Bhowmik","given":"Deepayan","non-dropping-particle":"","parse-names":false,"suffix":""},{"dropping-particle":"","family":"Marino","given":"Armando","non-dropping-particle":"","parse-names":false,"suffix":""},{"dropping-particle":"","family":"Akbari","given":"Vahid","non-dropping-particle":"","parse-names":false,"suffix":""},{"dropping-particle":"","family":"Rupavatharam","given":"Srikanth","non-dropping-particle":"","parse-names":false,"suffix":""},{"dropping-particle":"","family":"Sujeetha","given":"J. Alice R.P.","non-dropping-particle":"","parse-names":false,"suffix":""},{"dropping-particle":"","family":"Anantrao","given":"Girish Gunjotikar","non-dropping-particle":"","parse-names":false,"suffix":""},{"dropping-particle":"","family":"Poduvattil","given":"Vidhu Kampurath","non-dropping-particle":"","parse-names":false,"suffix":""},{"dropping-particle":"","family":"Kumar","given":"Saurav","non-dropping-particle":"","parse-names":false,"suffix":""},{"dropping-particle":"","family":"Kleczkowski","given":"Adam","non-dropping-particle":"","parse-names":false,"suffix":""}],"container-title":"Frontiers in Ecology and Evolution","id":"ITEM-1","issued":{"date-parts":[["2021","1","28"]]},"publisher":"Frontiers Media S.A.","title":"Monitoring the Spread of Water Hyacinth (Pontederia crassipes): Challenges and Future Developments","type":"article","volume":"9"},"uris":["http://www.mendeley.com/documents/?uuid=16e95737-cfdf-376f-845a-7b34377846ad"]}],"mendeley":{"formattedCitation":"(Datta et al., 2021)","plainTextFormattedCitation":"(Datta et al., 2021)","previouslyFormattedCitation":"(Datta et al., 2021)"},"properties":{"noteIndex":0},"schema":"https://github.com/citation-style-language/schema/raw/master/csl-citation.json"}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(Datta et al., 2021)</w:t>
      </w:r>
      <w:r>
        <w:rPr>
          <w:rFonts w:ascii="Times New Roman" w:hAnsi="Times New Roman" w:cs="Times New Roman"/>
        </w:rPr>
        <w:fldChar w:fldCharType="end"/>
      </w:r>
      <w:r>
        <w:rPr>
          <w:rFonts w:ascii="Times New Roman" w:hAnsi="Times New Roman" w:cs="Times New Roman"/>
        </w:rPr>
        <w:t>. These specialised indices generally outperform NDVI for particular targets, but they often require additional spectral bands, careful parameterisation or atmospheric correction that may not be feasible in data-scarce settings.</w:t>
      </w:r>
    </w:p>
    <w:p w14:paraId="0EE62716" w14:textId="77777777" w:rsidR="00CF0628" w:rsidRPr="00352C77" w:rsidRDefault="00CF0628" w:rsidP="00A623D5">
      <w:pPr>
        <w:pStyle w:val="Heading3"/>
        <w:spacing w:line="360" w:lineRule="auto"/>
        <w:ind w:left="720"/>
        <w:rPr>
          <w:rFonts w:ascii="Times New Roman" w:hAnsi="Times New Roman" w:cs="Times New Roman"/>
        </w:rPr>
      </w:pPr>
      <w:bookmarkStart w:id="51" w:name="_Toc234133575"/>
      <w:bookmarkStart w:id="52" w:name="_Toc237884289"/>
      <w:r>
        <w:rPr>
          <w:rFonts w:ascii="Times New Roman" w:hAnsi="Times New Roman" w:cs="Times New Roman"/>
        </w:rPr>
        <w:t>2.3.4 Rationale for Combining NDVI and NDWI in the Present Study</w:t>
      </w:r>
      <w:bookmarkEnd w:id="51"/>
      <w:bookmarkEnd w:id="52"/>
    </w:p>
    <w:p w14:paraId="2E76308A" w14:textId="77777777" w:rsidR="00CF0628" w:rsidRPr="00352C77" w:rsidRDefault="00CF0628" w:rsidP="00A623D5">
      <w:pPr>
        <w:pStyle w:val="ListParagraph"/>
        <w:spacing w:after="160" w:line="360" w:lineRule="auto"/>
        <w:ind w:left="720"/>
        <w:jc w:val="both"/>
        <w:rPr>
          <w:rFonts w:ascii="Times New Roman" w:hAnsi="Times New Roman" w:cs="Times New Roman"/>
        </w:rPr>
      </w:pPr>
      <w:r>
        <w:rPr>
          <w:rFonts w:ascii="Times New Roman" w:hAnsi="Times New Roman" w:cs="Times New Roman"/>
        </w:rPr>
        <w:t>The choice of indices for any study reflects a trade-off between discriminating power and practical feasibility. Specialised indices such as FAI, NDAVI and WAVI can offer superior performance for specific targets, but they demand additional bands, parameterisation or atmospheric processing. For routine, low-cost monitoring of a small tropical lake using freely available Sentinel-2 imagery, the pairing of NDVI and the green-NIR NDWI offers a pragmatic and defensible compromise. NDVI provides a mature, well-understood measure of vegetation cover, while NDWI independently maps open water; because the two are strongly and inversely correlated, using them together allows each to validate the other and reduces the risk of misclassifying turbid water or wet soil as vegetation. This complementary pairing is therefore adopted in the present study, with the specialised indices noted as options for future, more instrument-intensive work (Duarte et al., 2022; Gerardo &amp; De Lima, n.d.; Singh et al., 2020).</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{"citationItems":[{"id":"ITEM-1","itemData":{"author":[{"dropping-particle":"","family":"Duarte","given":"Lia","non-dropping-particle":"","parse-names":false,"suffix":""},{"dropping-particle":"","family":"Ant","given":"Ana M","non-dropping-particle":"","parse-names":false,"suffix":""},{"dropping-particle":"","family":"Sousa","given":"Joaquim J","non-dropping-particle":"","parse-names":false,"suffix":""}],"id":"ITEM-1","issued":{"date-parts":[["2022"]]},"title":"Spatio-Temporal Water Hyacinth Monitoring in the Lower Mondego ( Portugal ) Using Remote Sensing Data","type":"article-journal"},"uris":["http://www.mendeley.com/documents/?uuid=de75f424-adbe-4dd1-878e-2b6f1dbcdd8b"]}],"mendeley":{"formattedCitation":"(Duarte et al., 2022)","plainTextFormattedCitation":"(Duarte et al., 2022)","previouslyFormattedCitation":"(Duarte et al., 2022)"},"properties":{"noteIndex":0},"schema":"https://github.com/citation-style-language/schema/raw/master/csl-citation.json"}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fldChar w:fldCharType="begin" w:fldLock="1"/>
      </w:r>
      <w:r>
        <w:rPr>
          <w:rFonts w:ascii="Times New Roman" w:hAnsi="Times New Roman" w:cs="Times New Roman"/>
        </w:rPr>
        <w:instrText>ADDIN CSL_CITATION {"citationItems":[{"id":"ITEM-1","itemData":{"DOI":"10.1117/1.JRS.16","abstract":"Water hyacinth (Eichhornia crassipes) has become a threat to many aquatic environments worldwide. This aquatic weed presents a rapid reproductive capacity and outcompetes other aquatic plant species, forming dense, free-floating mats, which in many instances completely cover freshwater surfaces. The infestation leads to several serious environmental (includ-ing ecological and socioeconomic) impacts that are hazardous to aquatic systems, disables human uses of surface waters, and affects hydraulic infrastructures (e.g., waterways and pumping stations). Our study explores the use of remote sensing tools to monitor and categorize the spread of water hyacinth, aiming at new insights into the detection, observation, and mapping of this invasive plant using vegetation indices and water indices calculated from multispectral data from satellite Sentinel-2, such as normalized difference vegetation index and normalized difference water index. The approach uses spatiotemporal information and has the potential to contribute to inform planners and decision-makers that are concerned with managing the plant by applying integrated measures. The case study deals with a small water course located in the downstream part of the Mondego river valley in Portugal, a country where water hyacinth is widely spread and constitutes a major problem, mainly in the irrigated agricultural areas of the Tagus, Sado, Mondego, and Lis rivers' basins.","author":[{"dropping-particle":"","family":"Gerardo","given":"Romeu","non-dropping-particle":"","parse-names":false,"suffix":""},{"dropping-particle":"","family":"Lima","given":"Isabel P","non-dropping-particle":"De","parse-names":false,"suffix":""}],"id":"ITEM-1","issued":{"date-parts":[["0"]]},"title":"Assessing the potential of Sentinel-2 data for tracking invasive water hyacinth in a river branch","type":"article-journal"},"uris":["http://www.mendeley.com/documents/?uuid=cb7c58dd-d825-3ac4-91f8-5aa57ae07a0b"]}],"mendeley":{"formattedCitation":"(Gerardo &amp; De Lima, n.d.)","plainTextFormattedCitation":"(Gerardo &amp; De Lima, n.d.)","previouslyFormattedCitation":"(Gerardo &amp; De Lima, n.d.)"},"properties":{"noteIndex":0},"schema":"https://github.com/citation-style-language/schema/raw/master/csl-citation.json"}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fldChar w:fldCharType="begin" w:fldLock="1"/>
      </w:r>
      <w:r>
        <w:rPr>
          <w:rFonts w:ascii="Times New Roman" w:hAnsi="Times New Roman" w:cs="Times New Roman"/>
        </w:rPr>
        <w:instrText>ADDIN CSL_CITATION {"citationItems":[{"id":"ITEM-1","itemData":{"DOI":"10.3390/rs12244021","ISSN":"20724292","abstract":"Diverse freshwater biological communities are threatened by invasive aquatic alien plant (IAAP) invasions and consequently, cost countries millions to manage. The effective management of these IAAP invasions necessitates their frequent and reliable monitoring across a broad extent and over a long-term. Here, we introduce and apply a monitoring approach that meet these criteria and is based on a three-stage hierarchical classification to firstly detect water, then aquatic vegetation and finally water hyacinth (Pontederia crassipes, previously Eichhornia crassipes), the most damaging IAAP species within many regions of the world. Our approach circumvents many challenges that restricted previous satellite-based water hyacinth monitoring attempts to smaller study areas. The method is executable on Google Earth Engine (GEE) extemporaneously and utilizes free, medium resolution (10–30 m) multispectral Earth Observation (EO) data from either Landsat-8 or Sentinel-2. The automated workflow employs a novel simple thresholding approach to obtain reliable boundaries for open-water, which are then used to limit the area for aquatic vegetation detection. Subsequently, a random forest modelling approach is used to discriminate water hyacinth from other detected aquatic vegetation using the eight most important variables. This study represents the first national scale EO-derived water hyacinth distribution map. Based on our model, it is estimated that this pervasive IAAP covered 417.74 km2 across South Africa in 2013. Additionally, we show encouraging results for utilizing the automatically derived aquatic vegetation masks to fit and evaluate a convolutional neural network-based semantic segmentation model, removing the need for detection of surface water extents that may not always be available at the required spatio-temporal resolution or accuracy. The water hyacinth species discrimination has a 0.80, or greater, overall accuracy (0.93), F1-score (0.87) and Matthews correlation coefficient (0.80) based on 98 widely distributed field sites across South Africa. The results suggest that the introduced workflow is suitable for monitoring changes in the extent of open water, aquatic vegetation, and water hyacinth for individual waterbodies or across national extents. The GEE code can be accessed here.","author":[{"dropping-particle":"","family":"Singh","given":"Geethen","non-dropping-particle":"","parse-names":false,"suffix":""},{"dropping-particle":"","family":"Reynolds","given":"Chevonne","non-dropping-particle":"","parse-names":false,"suffix":""},{"dropping-particle":"","family":"Byrne","given":"Marcus","non-dropping-particle":"","parse-names":false,"suffix":""},{"dropping-particle":"","family":"Rosman","given":"Benjamin","non-dropping-particle":"","parse-names":false,"suffix":""}],"container-title":"Remote Sensing","id":"ITEM-1","issue":"24","issued":{"date-parts":[["2020","12","2"]]},"page":"1-24","publisher":"MDPI AG","title":"A remote sensing method to monitor water, aquatic vegetation, and invasive water hyacinth at national extents","type":"article-journal","volume":"12"},"uris":["http://www.mendeley.com/documents/?uuid=ca0efab7-de66-3dff-adf9-88c21ed4b8f3"]}],"mendeley":{"formattedCitation":"(Singh et al., 2020)","plainTextFormattedCitation":"(Singh et al., 2020)","previouslyFormattedCitation":"(Singh et al., 2020)"},"properties":{"noteIndex":0},"schema":"https://github.com/citation-style-language/schema/raw/master/csl-citation.json"}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fldChar w:fldCharType="end"/>
      </w:r>
    </w:p>
    <w:p w14:paraId="0730E4CB" w14:textId="77777777" w:rsidR="00CF0628" w:rsidRPr="00352C77" w:rsidRDefault="00CF0628" w:rsidP="00A623D5">
      <w:pPr>
        <w:pStyle w:val="Heading2"/>
        <w:spacing w:line="360" w:lineRule="auto"/>
        <w:ind w:left="720"/>
        <w:rPr>
          <w:rFonts w:ascii="Times New Roman" w:hAnsi="Times New Roman" w:cs="Times New Roman"/>
        </w:rPr>
      </w:pPr>
      <w:bookmarkStart w:id="53" w:name="_Toc234133576"/>
      <w:bookmarkStart w:id="54" w:name="_Toc237884290"/>
      <w:r>
        <w:rPr>
          <w:rFonts w:ascii="Times New Roman" w:hAnsi="Times New Roman" w:cs="Times New Roman"/>
        </w:rPr>
        <w:t>2.4 Application of Remote Sensing and NDVI in Aquatic Environments</w:t>
      </w:r>
      <w:bookmarkEnd w:id="53"/>
      <w:bookmarkEnd w:id="54"/>
    </w:p>
    <w:p w14:paraId="79C5FE3C" w14:textId="77777777" w:rsidR="00CF0628" w:rsidRPr="00352C77" w:rsidRDefault="00CF0628" w:rsidP="00A623D5">
      <w:pPr>
        <w:pStyle w:val="Heading3"/>
        <w:spacing w:line="360" w:lineRule="auto"/>
        <w:ind w:left="720"/>
        <w:rPr>
          <w:rFonts w:ascii="Times New Roman" w:hAnsi="Times New Roman" w:cs="Times New Roman"/>
        </w:rPr>
      </w:pPr>
      <w:bookmarkStart w:id="55" w:name="_Toc234133577"/>
      <w:bookmarkStart w:id="56" w:name="_Toc237884291"/>
      <w:r>
        <w:rPr>
          <w:rFonts w:ascii="Times New Roman" w:hAnsi="Times New Roman" w:cs="Times New Roman"/>
        </w:rPr>
        <w:t>2.4.1 Monitoring Floating Aquatic Weeds</w:t>
      </w:r>
      <w:bookmarkEnd w:id="55"/>
      <w:bookmarkEnd w:id="56"/>
    </w:p>
    <w:p w14:paraId="3BB7305E" w14:textId="77777777" w:rsidR="00CF0628" w:rsidRPr="00352C77" w:rsidRDefault="00CF0628" w:rsidP="00A623D5">
      <w:pPr>
        <w:pStyle w:val="ListParagraph"/>
        <w:spacing w:after="160" w:line="360" w:lineRule="auto"/>
        <w:ind w:left="720"/>
        <w:jc w:val="both"/>
        <w:rPr>
          <w:rFonts w:ascii="Times New Roman" w:hAnsi="Times New Roman" w:cs="Times New Roman"/>
        </w:rPr>
      </w:pPr>
      <w:r>
        <w:rPr>
          <w:rFonts w:ascii="Times New Roman" w:hAnsi="Times New Roman" w:cs="Times New Roman"/>
        </w:rPr>
        <w:t xml:space="preserve">Floating weeds such as water hyacinth and water lettuce form dense surface mats that present a strong vegetation signal against a dark water background, making them well suited to detection by NDVI and related indices. Studies in the Lake Victoria basin have used satellite imagery to track the expansion and contraction of water hyacinth, linking its dynamics to nutrient loading, wind-driven redistribution and control interventions (Albright </w:t>
      </w:r>
      <w:r>
        <w:rPr>
          <w:rFonts w:ascii="Times New Roman" w:hAnsi="Times New Roman" w:cs="Times New Roman"/>
        </w:rPr>
        <w:fldChar w:fldCharType="begin" w:fldLock="1"/>
      </w:r>
      <w:r>
        <w:rPr>
          <w:rFonts w:ascii="Times New Roman" w:hAnsi="Times New Roman" w:cs="Times New Roman"/>
        </w:rPr>
        <w:instrText>ADDIN CSL_CITATION {"citationItems":[{"id":"ITEM-1","itemData":{"ISSN":"01466623","abstract":"Water hyacinth (Eichhornia crassipes (Mart.) Solms) is an invasive aquatic macrophyte associated with major negative economic and ecological impacts to the Lake Victoria region since the plant's establishment in Uganda in the 1980s. Reliable estimates of water hyacinth distribution and extent are required to gauge the severity of the problem through time, relate water hyacinth abundance to environmental factors, identify areas requiring management action, and assess the efficacy of management actions. To provide such estimates and demonstrate the utility of remote sensing for this application, we processed and analyzed remotely sensed imagery to determine the distribution and extent of water hyacinth. Maps were produced and coverage was quantified using a hybrid unsupervised image classification approach with manual editing for each of the riparian countries of Kenya, Tanzania, and Uganda, as well as for numerous gulfs and bays. A similar procedure was carried out for selected lakes in the Rwanda-Tanzania borderlands lakes region in the Kagera River basin. Results confirm the severity of the water hyacinth infestation, especially in the northern parts of the lake. A maximum lake-wide extent of at least 17,374 ha was attained in 1998. Following this, a combination of factors, including conditions associated with the 1997 to 1998 El Niño and biocontrol with water hyacinth weevils, appear to have contributed to a major decline in water hyacinth in the most affected parts of the lake. Some lakes in the Kagera basin, such as Lake Mihindi, Rwanda, were severely infested in the late 1990s, but the level of infestation in most of these decreased markedly by the early 2000s.","author":[{"dropping-particle":"","family":"Albright","given":"Thomas P.","non-dropping-particle":"","parse-names":false,"suffix":""},{"dropping-particle":"","family":"Moorhouse","given":"T. G.","non-dropping-particle":"","parse-names":false,"suffix":""},{"dropping-particle":"","family":"McNabb","given":"T. J.","non-dropping-particle":"","parse-names":false,"suffix":""}],"container-title":"Journal of Aquatic Plant Management","id":"ITEM-1","issue":"JUL.","issued":{"date-parts":[["2004"]]},"page":"73-84","title":"The rise and fall of water hyacinth in Lake Victoria and the Kagera River basin, 1989-2001","type":"article-journal","volume":"42"},"uris":["http://www.mendeley.com/documents/?uuid=22020857-a73a-4fac-8a52-9923707cdf91"]}],"mendeley":{"formattedCitation":"(Albright et al., 2004)","plainTextFormattedCitation":"(Albright et al., 2004)","previouslyFormattedCitation":"(Albright et al., 2004)"},"properties":{"noteIndex":0},"schema":"https://github.com/citation-style-language/schema/raw/master/csl-citation.json"}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 xml:space="preserve">et al., 2004; </w:t>
      </w:r>
      <w:r>
        <w:rPr>
          <w:rFonts w:ascii="Times New Roman" w:hAnsi="Times New Roman" w:cs="Times New Roman"/>
        </w:rPr>
        <w:fldChar w:fldCharType="end"/>
      </w:r>
      <w:r>
        <w:rPr>
          <w:rFonts w:ascii="Times New Roman" w:hAnsi="Times New Roman" w:cs="Times New Roman"/>
        </w:rPr>
        <w:fldChar w:fldCharType="begin" w:fldLock="1"/>
      </w:r>
      <w:r>
        <w:rPr>
          <w:rFonts w:ascii="Times New Roman" w:hAnsi="Times New Roman" w:cs="Times New Roman"/>
        </w:rPr>
        <w:instrText>ADDIN CSL_CITATION {"citationItems":[{"id":"ITEM-1","itemData":{"DOI":"10.1100/2012/106429","ISSN":"1537744X","PMID":"22619574","abstract":"This study, conducted in Nyanza Gulf of Lake Victoria, assessed ecological succession and dynamic status of water hyacinth. Results show that water hyacinth is the genesis of macrophyte succession. On establishment, water hyacinth mats are first invaded by native emergent macrophytes, Ipomoea aquatica Forsk., and Enydra fluctuans Lour., during early stages of succession. This is followed by hippo grass Vossia cuspidata (Roxb.) Griff. in mid- and late stages whose population peaks during climax stages of succession with concomitant decrease in water hyacinth biomass. Hippo grass depends on water hyacinth for buoyancy, anchorage, and nutrients. The study concludes that macrophyte succession alters aquatic biodiversity and that, since water hyacinth infestation and attendant succession are a symptom of broader watershed management and pollution problems, aquatic macrophyte control should include reduction of nutrient loads and implementing multifaceted approach that incorporates biological agents, mechanical/manual control with utilization of harvested weed for cottage industry by local communities. Copyright 2012 John Gichuki et al.","author":[{"dropping-particle":"","family":"Gichuki","given":"John","non-dropping-particle":"","parse-names":false,"suffix":""},{"dropping-particle":"","family":"Omondi","given":"Reuben","non-dropping-particle":"","parse-names":false,"suffix":""},{"dropping-particle":"","family":"Boera","given":"Priscillar","non-dropping-particle":"","parse-names":false,"suffix":""},{"dropping-particle":"","family":"Okorut","given":"Tom","non-dropping-particle":"","parse-names":false,"suffix":""},{"dropping-particle":"","family":"Matano","given":"Ally Said","non-dropping-particle":"","parse-names":false,"suffix":""},{"dropping-particle":"","family":"Jembe","given":"Tsuma","non-dropping-particle":"","parse-names":false,"suffix":""},{"dropping-particle":"","family":"Ofulla","given":"Ayub","non-dropping-particle":"","parse-names":false,"suffix":""}],"container-title":"The Scientific World Journal","id":"ITEM-1","issued":{"date-parts":[["2012"]]},"title":"Water hyacinth eichhornia crassipes (Mart.) solms-laubach dynamics and succession in the nyanza gulf of Lake Victoria (East Africa): Implications for water quality and biodiversity conservation","type":"article-journal","volume":"2012"},"uris":["http://www.mendeley.com/documents/?uuid=4ebf135e-3141-4cf7-a00f-29e172729c0d"]}],"mendeley":{"formattedCitation":"(Gichuki et al., 2012)","plainTextFormattedCitation":"(Gichuki et al., 2012)","previouslyFormattedCitation":"(Gichuki et al., 2012)"},"properties":{"noteIndex":0},"schema":"https://github.com/citation-style-language/schema/raw/master/csl-citation.json"}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Gichuki et al., 2012)</w:t>
      </w:r>
      <w:r>
        <w:rPr>
          <w:rFonts w:ascii="Times New Roman" w:hAnsi="Times New Roman" w:cs="Times New Roman"/>
        </w:rPr>
        <w:fldChar w:fldCharType="end"/>
      </w:r>
      <w:r>
        <w:rPr>
          <w:rFonts w:ascii="Times New Roman" w:hAnsi="Times New Roman" w:cs="Times New Roman"/>
        </w:rPr>
        <w:t xml:space="preserve">. Such work has repeatedly shown that floating-weed infestations are not distributed uniformly but concentrate in sheltered bays, near river mouths and in nutrient-enriched inshore areas </w:t>
      </w:r>
      <w:proofErr w:type="gramStart"/>
      <w:r>
        <w:rPr>
          <w:rFonts w:ascii="Times New Roman" w:hAnsi="Times New Roman" w:cs="Times New Roman"/>
        </w:rPr>
        <w:t>where</w:t>
      </w:r>
      <w:proofErr w:type="gramEnd"/>
      <w:r>
        <w:rPr>
          <w:rFonts w:ascii="Times New Roman" w:hAnsi="Times New Roman" w:cs="Times New Roman"/>
        </w:rPr>
        <w:t xml:space="preserve"> reduced wave action and elevated nutrient inputs favour growth. These findings establish both the feasibility of index-based </w:t>
      </w:r>
      <w:r>
        <w:rPr>
          <w:rFonts w:ascii="Times New Roman" w:hAnsi="Times New Roman" w:cs="Times New Roman"/>
        </w:rPr>
        <w:lastRenderedPageBreak/>
        <w:t>mapping of floating weeds and the expectation that infestation on any given lake will be spatially clustered rather than lake-wide.</w:t>
      </w:r>
    </w:p>
    <w:p w14:paraId="7DC767A0" w14:textId="77777777" w:rsidR="00CF0628" w:rsidRPr="00352C77" w:rsidRDefault="00CF0628" w:rsidP="00A623D5">
      <w:pPr>
        <w:pStyle w:val="Heading3"/>
        <w:spacing w:line="360" w:lineRule="auto"/>
        <w:ind w:left="720"/>
        <w:rPr>
          <w:rFonts w:ascii="Times New Roman" w:hAnsi="Times New Roman" w:cs="Times New Roman"/>
        </w:rPr>
      </w:pPr>
      <w:bookmarkStart w:id="57" w:name="_Toc234133578"/>
      <w:bookmarkStart w:id="58" w:name="_Toc237884292"/>
      <w:r>
        <w:rPr>
          <w:rFonts w:ascii="Times New Roman" w:hAnsi="Times New Roman" w:cs="Times New Roman"/>
        </w:rPr>
        <w:t>2.4.2 Monitoring Submerged Aquatic Vegetation</w:t>
      </w:r>
      <w:bookmarkEnd w:id="57"/>
      <w:bookmarkEnd w:id="58"/>
    </w:p>
    <w:p w14:paraId="65DF7164" w14:textId="77777777" w:rsidR="00CF0628" w:rsidRPr="00352C77" w:rsidRDefault="00CF0628" w:rsidP="00A623D5">
      <w:pPr>
        <w:pStyle w:val="ListParagraph"/>
        <w:spacing w:after="160" w:line="360" w:lineRule="auto"/>
        <w:ind w:left="720"/>
        <w:jc w:val="both"/>
        <w:rPr>
          <w:rFonts w:ascii="Times New Roman" w:hAnsi="Times New Roman" w:cs="Times New Roman"/>
        </w:rPr>
      </w:pPr>
      <w:r>
        <w:rPr>
          <w:rFonts w:ascii="Times New Roman" w:hAnsi="Times New Roman" w:cs="Times New Roman"/>
        </w:rPr>
        <w:t xml:space="preserve">Submerged aquatic vegetation is considerably more difficult to monitor than floating weeds because the overlying water column absorbs much of the near-infrared signal on which NDVI depends. Detecting submerged plants therefore requires clear, shallow water and often benefits from higher spectral resolution or from indices and radiative-transfer approaches tailored to the aquatic background </w:t>
      </w:r>
      <w:r>
        <w:rPr>
          <w:rFonts w:ascii="Times New Roman" w:hAnsi="Times New Roman" w:cs="Times New Roman"/>
        </w:rPr>
        <w:fldChar w:fldCharType="begin" w:fldLock="1"/>
      </w:r>
      <w:r>
        <w:rPr>
          <w:rFonts w:ascii="Times New Roman" w:hAnsi="Times New Roman" w:cs="Times New Roman"/>
        </w:rPr>
        <w:instrText>ADDIN CSL_CITATION {"citationItems":[{"id":"ITEM-1","itemData":{"DOI":"10.1016/S0304-3770(97)00043-0","ISSN":"03043770","abstract":"This paper evaluates the use of Daedalus Airborne Thematic Mapper (ATM) remotely sensed imagery for monitoring the distribution of aquatic macrophyte species in Cefni Reservoir on the Isle of Anglesey. Images acquired by the ATM were compared to spectroradiometric measurements of the reflectance characteristics of the water and selected stands of submersed floating-leaved and emergent macrophytes. The information content of individual and combinations of ATM spectral bands were investigated for mapping macrophyte distributions. Discriminant analysis performed on both data sets indicated that good identification of macrophytes could be achieved by a combination of green, red and near infrared wavebands. A minimum distance supervised classifier using ATM bands 3, 7 and 8 showed separation of the species surveyed. The results indicate that airborne remotely sensed data have good potential for monitoring freshwater macrophyte species.","author":[{"dropping-particle":"","family":"Malthus","given":"T. J.","non-dropping-particle":"","parse-names":false,"suffix":""},{"dropping-particle":"","family":"George","given":"D. G.","non-dropping-particle":"","parse-names":false,"suffix":""}],"container-title":"Aquatic Botany","id":"ITEM-1","issue":"3-4","issued":{"date-parts":[["1997"]]},"page":"317-332","title":"Airborne remote sensing of macrophytes in Cefni Reservoir, Anglesey, UK","type":"article-journal","volume":"58"},"uris":["http://www.mendeley.com/documents/?uuid=2ea9a0f7-fb41-41d4-a3e9-4ee2928c1a37"]}],"mendeley":{"formattedCitation":"(Malthus &amp; George, 1997)","plainTextFormattedCitation":"(Malthus &amp; George, 1997)","previouslyFormattedCitation":"(Malthus &amp; George, 1997)"},"properties":{"noteIndex":0},"schema":"https://github.com/citation-style-language/schema/raw/master/csl-citation.json"}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(Malthus &amp; George, 1997).</w:t>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{"citationItems":[{"id":"ITEM-1","itemData":{"DOI":"10.3389/fevo.2021.631338","ISSN":"2296701X","abstract":"Water hyacinth (Pontederia crassipes, also referred to as Eichhornia crassipes) is one of the most invasive weed species in the world, causing significant adverse economic and ecological impacts, particularly in tropical and sub-tropical regions. Large scale real-time monitoring of areas of chronic infestation is critical to formulate effective control strategies for this fast spreading weed species. Assessment of revenue generation potential of the harvested water hyacinth biomass also requires enhanced understanding to estimate the biomass yield potential for a given water body. Modern remote sensing technologies can greatly enhance our capacity to understand, monitor, and estimate water hyacinth infestation within inland as well as coastal freshwater bodies. Readily available satellite imagery with high spectral, temporal, and spatial resolution, along with conventional and modern machine learning techniques for automated image analysis, can enable discrimination of water hyacinth infestation from other floating or submerged vegetation. Remote sensing can potentially be complemented with an array of other technology-based methods, including aerial surveys, ground-level sensors, and citizen science, to provide comprehensive, timely, and accurate monitoring. This review discusses the latest developments in the use of remote sensing and other technologies to monitor water hyacinth infestation, and proposes a novel, multi-modal approach that combines the strengths of the different methods.","author":[{"dropping-particle":"","family":"Datta","given":"Aviraj","non-dropping-particle":"","parse-names":false,"suffix":""},{"dropping-particle":"","family":"Maharaj","given":"Savitri","non-dropping-particle":"","parse-names":false,"suffix":""},{"dropping-particle":"","family":"Prabhu","given":"G. Nagendra","non-dropping-particle":"","parse-names":false,"suffix":""},{"dropping-particle":"","family":"Bhowmik","given":"Deepayan","non-dropping-particle":"","parse-names":false,"suffix":""},{"dropping-particle":"","family":"Marino","given":"Armando","non-dropping-particle":"","parse-names":false,"suffix":""},{"dropping-particle":"","family":"Akbari","given":"Vahid","non-dropping-particle":"","parse-names":false,"suffix":""},{"dropping-particle":"","family":"Rupavatharam","given":"Srikanth","non-dropping-particle":"","parse-names":false,"suffix":""},{"dropping-particle":"","family":"Sujeetha","given":"J. Alice R.P.","non-dropping-particle":"","parse-names":false,"suffix":""},{"dropping-particle":"","family":"Anantrao","given":"Girish Gunjotikar","non-dropping-particle":"","parse-names":false,"suffix":""},{"dropping-particle":"","family":"Poduvattil","given":"Vidhu Kampurath","non-dropping-particle":"","parse-names":false,"suffix":""},{"dropping-particle":"","family":"Kumar","given":"Saurav","non-dropping-particle":"","parse-names":false,"suffix":""},{"dropping-particle":"","family":"Kleczkowski","given":"Adam","non-dropping-particle":"","parse-names":false,"suffix":""}],"container-title":"Frontiers in Ecology and Evolution","id":"ITEM-1","issued":{"date-parts":[["2021","1","28"]]},"publisher":"Frontiers Media S.A.","title":"Monitoring the Spread of Water Hyacinth (Pontederia crassipes): Challenges and Future Developments","type":"article","volume":"9"},"uris":["http://www.mendeley.com/documents/?uuid=16e95737-cfdf-376f-845a-7b34377846ad"]}],"mendeley":{"formattedCitation":"(Datta et al., 2021)","plainTextFormattedCitation":"(Datta et al., 2021)","previouslyFormattedCitation":"(Datta et al., 2021)"},"properties":{"noteIndex":0},"schema":"https://github.com/citation-style-language/schema/raw/master/csl-citation.json"}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(Datta et al., 2021)</w:t>
      </w:r>
      <w:r>
        <w:rPr>
          <w:rFonts w:ascii="Times New Roman" w:hAnsi="Times New Roman" w:cs="Times New Roman"/>
        </w:rPr>
        <w:fldChar w:fldCharType="end"/>
      </w:r>
      <w:r>
        <w:rPr>
          <w:rFonts w:ascii="Times New Roman" w:hAnsi="Times New Roman" w:cs="Times New Roman"/>
        </w:rPr>
        <w:t>. Reported success is strongly dependent on water clarity and depth, and mapping accuracy declines sharply as turbidity increases or plants grow deeper below the surface. For a turbid, shallow lake, this means that NDVI-based methods are most reliable for emergent and floating vegetation, while submerged beds may be underestimated, a limitation that must be acknowledged when interpreting results.</w:t>
      </w:r>
    </w:p>
    <w:p w14:paraId="480DE45E" w14:textId="77777777" w:rsidR="00CF0628" w:rsidRPr="00352C77" w:rsidRDefault="00CF0628" w:rsidP="00A623D5">
      <w:pPr>
        <w:pStyle w:val="Heading3"/>
        <w:spacing w:line="360" w:lineRule="auto"/>
        <w:ind w:left="720"/>
        <w:rPr>
          <w:rFonts w:ascii="Times New Roman" w:hAnsi="Times New Roman" w:cs="Times New Roman"/>
        </w:rPr>
      </w:pPr>
      <w:bookmarkStart w:id="59" w:name="_Toc234133579"/>
      <w:bookmarkStart w:id="60" w:name="_Toc237884293"/>
      <w:r>
        <w:rPr>
          <w:rFonts w:ascii="Times New Roman" w:hAnsi="Times New Roman" w:cs="Times New Roman"/>
        </w:rPr>
        <w:t>2.4.3 Multi-Temporal Analysis and Climate-Driven Change</w:t>
      </w:r>
      <w:bookmarkEnd w:id="59"/>
      <w:bookmarkEnd w:id="60"/>
    </w:p>
    <w:p w14:paraId="57FEB839" w14:textId="77777777" w:rsidR="00CF0628" w:rsidRPr="00352C77" w:rsidRDefault="00CF0628" w:rsidP="00A623D5">
      <w:pPr>
        <w:pStyle w:val="ListParagraph"/>
        <w:spacing w:after="160" w:line="360" w:lineRule="auto"/>
        <w:ind w:left="720"/>
        <w:jc w:val="both"/>
        <w:rPr>
          <w:rFonts w:ascii="Times New Roman" w:hAnsi="Times New Roman" w:cs="Times New Roman"/>
        </w:rPr>
      </w:pPr>
      <w:r>
        <w:rPr>
          <w:rFonts w:ascii="Times New Roman" w:hAnsi="Times New Roman" w:cs="Times New Roman"/>
        </w:rPr>
        <w:t xml:space="preserve">A major advantage of freely available satellite archives is the ability to conduct multi-temporal analysis, comparing imagery across seasons and years to track how weed cover changes over time. Multi-temporal approaches can reveal seasonal cycles of growth and senescence, distinguish persistent hotspots from transient patches, and detect long-term trends in infestation </w:t>
      </w:r>
      <w:r>
        <w:rPr>
          <w:rFonts w:ascii="Times New Roman" w:hAnsi="Times New Roman" w:cs="Times New Roman"/>
        </w:rPr>
        <w:fldChar w:fldCharType="begin" w:fldLock="1"/>
      </w:r>
      <w:r>
        <w:rPr>
          <w:rFonts w:ascii="Times New Roman" w:hAnsi="Times New Roman" w:cs="Times New Roman"/>
        </w:rPr>
        <w:instrText>ADDIN CSL_CITATION {"citationItems":[{"id":"ITEM-1","itemData":{"DOI":"10.12911/22998993/151884","ISSN":"22998993","abstract":"For the last 20 years researchers have tried to create new approaches of managing urban ecosystem by using remote sensing methods. The authors estimated the normalized vegetation index (NDVI) and moisture index (NDMI) indices of Kyiv and propose an approach which can be used for estimation vegetation of other cities. The aim of the study was to assess the indicators of NDVI and NDMI in Kyiv for the last 5 years. The authors consider the NDVI index as an important ecostabilizing component of the urban ecosystem, as well as an indicator of the well-being citizens in a modern city. The study used space images of the Sentinel-2 satellite system with resolution of 10x10 m and 10x20 m. The images were decrypted using the Sentinel Hub platform which updates the database daily. The paper presents the results of correlation analysis using Statistica-6.0 software and demonstrate the close relationship (r = 0.73, r2 = 0.55) between NDVI and NDMI. Thus, the statistical results of the study confirm a strong correlation between photosynthetic activity of plants and indicators of their water content by satellite imagery which allows using modern satellite technologies to assess the functional state of the urban vegetation. The changes in the length of active vegetative growth period were identified by NDVI and NDMI. The results of the research expand the directions of the methods of monitoring the condition of the urban vegetation cover in the aspect of applied landscape research.","author":[{"dropping-particle":"","family":"Strashok","given":"Oleksandra","non-dropping-particle":"","parse-names":false,"suffix":""},{"dropping-particle":"","family":"Ziemiańska","given":"Monika","non-dropping-particle":"","parse-names":false,"suffix":""},{"dropping-particle":"","family":"Strashok","given":"Vitalii","non-dropping-particle":"","parse-names":false,"suffix":""}],"container-title":"Journal of Ecological Engineering","id":"ITEM-1","issue":"9","issued":{"date-parts":[["2022"]]},"page":"212-218","publisher":"Polskie Towarzystwo Inzynierii Ekologicznej (PTIE)","title":"Evaluation and Correlation of Sentinel-2 NDVI and NDMI in Kyiv (2017-2021)","type":"article-journal","volume":"23"},"uris":["http://www.mendeley.com/documents/?uuid=6e22a4b6-d997-3075-b9ee-967ccdb23537"]}],"mendeley":{"formattedCitation":"(Strashok et al., 2022)","plainTextFormattedCitation":"(Strashok et al., 2022)","previouslyFormattedCitation":"(Strashok et al., 2022)"},"properties":{"noteIndex":0},"schema":"https://github.com/citation-style-language/schema/raw/master/csl-citation.json"}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 xml:space="preserve">(Strashok et al., 2022; </w:t>
      </w:r>
      <w:r>
        <w:rPr>
          <w:rFonts w:ascii="Times New Roman" w:hAnsi="Times New Roman" w:cs="Times New Roman"/>
        </w:rPr>
        <w:fldChar w:fldCharType="end"/>
      </w:r>
      <w:r>
        <w:rPr>
          <w:rFonts w:ascii="Times New Roman" w:hAnsi="Times New Roman" w:cs="Times New Roman"/>
        </w:rPr>
        <w:fldChar w:fldCharType="begin" w:fldLock="1"/>
      </w:r>
      <w:r>
        <w:rPr>
          <w:rFonts w:ascii="Times New Roman" w:hAnsi="Times New Roman" w:cs="Times New Roman"/>
        </w:rPr>
        <w:instrText>ADDIN CSL_CITATION {"citationItems":[{"id":"ITEM-1","itemData":{"DOI":"10.1117/1.JRS.16","abstract":"Water hyacinth (Eichhornia crassipes) has become a threat to many aquatic environments worldwide. This aquatic weed presents a rapid reproductive capacity and outcompetes other aquatic plant species, forming dense, free-floating mats, which in many instances completely cover freshwater surfaces. The infestation leads to several serious environmental (includ-ing ecological and socioeconomic) impacts that are hazardous to aquatic systems, disables human uses of surface waters, and affects hydraulic infrastructures (e.g., waterways and pumping stations). Our study explores the use of remote sensing tools to monitor and categorize the spread of water hyacinth, aiming at new insights into the detection, observation, and mapping of this invasive plant using vegetation indices and water indices calculated from multispectral data from satellite Sentinel-2, such as normalized difference vegetation index and normalized difference water index. The approach uses spatiotemporal information and has the potential to contribute to inform planners and decision-makers that are concerned with managing the plant by applying integrated measures. The case study deals with a small water course located in the downstream part of the Mondego river valley in Portugal, a country where water hyacinth is widely spread and constitutes a major problem, mainly in the irrigated agricultural areas of the Tagus, Sado, Mondego, and Lis rivers' basins.","author":[{"dropping-particle":"","family":"Gerardo","given":"Romeu","non-dropping-particle":"","parse-names":false,"suffix":""},{"dropping-particle":"","family":"Lima","given":"Isabel P","non-dropping-particle":"De","parse-names":false,"suffix":""}],"id":"ITEM-1","issued":{"date-parts":[["0"]]},"title":"Assessing the potential of Sentinel-2 data for tracking invasive water hyacinth in a river branch","type":"article-journal"},"uris":["http://www.mendeley.com/documents/?uuid=cb7c58dd-d825-3ac4-91f8-5aa57ae07a0b"]}],"mendeley":{"formattedCitation":"(Gerardo &amp; De Lima, n.d.)","plainTextFormattedCitation":"(Gerardo &amp; De Lima, n.d.)","previouslyFormattedCitation":"(Gerardo &amp; De Lima, n.d.)"},"properties":{"noteIndex":0},"schema":"https://github.com/citation-style-language/schema/raw/master/csl-citation.json"}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Gerardo &amp; De Lima, n.d.)</w:t>
      </w:r>
      <w:r>
        <w:rPr>
          <w:rFonts w:ascii="Times New Roman" w:hAnsi="Times New Roman" w:cs="Times New Roman"/>
        </w:rPr>
        <w:fldChar w:fldCharType="end"/>
      </w:r>
      <w:r>
        <w:rPr>
          <w:rFonts w:ascii="Times New Roman" w:hAnsi="Times New Roman" w:cs="Times New Roman"/>
        </w:rPr>
        <w:t>. Such analysis must, however, account for the strong influence of inter-annual climate variability on East African lakes. The years from 2020 to 2023 were marked by consecutive La Nina events and unusually heavy rainfall in the Lake Victoria basin, producing record-high water levels. Elevated water levels can submerge previously vegetated margins, increase turbidity and shift the distribution of aquatic plants, all of which affect vegetation and water indices. Interpreting temporal trends in NDVI therefore requires that climate-driven changes in water level and clarity be considered alongside genuine changes in weed cover.</w:t>
      </w:r>
    </w:p>
    <w:p w14:paraId="61EE46E2" w14:textId="77777777" w:rsidR="00CF0628" w:rsidRPr="00352C77" w:rsidRDefault="00CF0628" w:rsidP="00A623D5">
      <w:pPr>
        <w:pStyle w:val="Heading2"/>
        <w:spacing w:line="360" w:lineRule="auto"/>
        <w:ind w:left="720"/>
        <w:rPr>
          <w:rFonts w:ascii="Times New Roman" w:hAnsi="Times New Roman" w:cs="Times New Roman"/>
        </w:rPr>
      </w:pPr>
      <w:bookmarkStart w:id="61" w:name="_Toc234133580"/>
      <w:bookmarkStart w:id="62" w:name="_Toc237884294"/>
      <w:r>
        <w:rPr>
          <w:rFonts w:ascii="Times New Roman" w:hAnsi="Times New Roman" w:cs="Times New Roman"/>
        </w:rPr>
        <w:lastRenderedPageBreak/>
        <w:t>2.5 Challenges and Limitations of Using NDVI for Aquatic Weed Monitoring</w:t>
      </w:r>
      <w:bookmarkEnd w:id="61"/>
      <w:bookmarkEnd w:id="62"/>
    </w:p>
    <w:p w14:paraId="0D2246B0" w14:textId="77777777" w:rsidR="00CF0628" w:rsidRPr="00352C77" w:rsidRDefault="00CF0628" w:rsidP="00A623D5">
      <w:pPr>
        <w:pStyle w:val="Heading3"/>
        <w:spacing w:line="360" w:lineRule="auto"/>
        <w:ind w:left="720"/>
        <w:rPr>
          <w:rFonts w:ascii="Times New Roman" w:hAnsi="Times New Roman" w:cs="Times New Roman"/>
        </w:rPr>
      </w:pPr>
      <w:bookmarkStart w:id="63" w:name="_Toc234133581"/>
      <w:bookmarkStart w:id="64" w:name="_Toc237884295"/>
      <w:r>
        <w:rPr>
          <w:rFonts w:ascii="Times New Roman" w:hAnsi="Times New Roman" w:cs="Times New Roman"/>
        </w:rPr>
        <w:t>2.5.1 Interference from the Water Column</w:t>
      </w:r>
      <w:bookmarkEnd w:id="63"/>
      <w:bookmarkEnd w:id="64"/>
    </w:p>
    <w:p w14:paraId="76FE87B4" w14:textId="77777777" w:rsidR="00CF0628" w:rsidRPr="00352C77" w:rsidRDefault="00CF0628" w:rsidP="00A623D5">
      <w:pPr>
        <w:pStyle w:val="ListParagraph"/>
        <w:spacing w:after="160" w:line="360" w:lineRule="auto"/>
        <w:ind w:left="720"/>
        <w:jc w:val="both"/>
        <w:rPr>
          <w:rFonts w:ascii="Times New Roman" w:hAnsi="Times New Roman" w:cs="Times New Roman"/>
        </w:rPr>
      </w:pPr>
      <w:r>
        <w:rPr>
          <w:rFonts w:ascii="Times New Roman" w:hAnsi="Times New Roman" w:cs="Times New Roman"/>
        </w:rPr>
        <w:t xml:space="preserve">The most fundamental limitation of applying NDVI in aquatic settings is interference from the water column itself. Water strongly absorbs near-infrared radiation, so any vegetation beneath or mixed with water produces a weakened NDVI signal, and increasing depth or turbidity progressively suppresses the response. Suspended sediments and dissolved matter further alter reflectance in ways that can mask or distort the vegetation signal. As a consequence, NDVI performs best for vegetation at or above the water surface and becomes unreliable for submerged plants, particularly in turbid tropical lakes where light penetration is limited </w:t>
      </w:r>
      <w:r>
        <w:rPr>
          <w:rFonts w:ascii="Times New Roman" w:hAnsi="Times New Roman" w:cs="Times New Roman"/>
        </w:rPr>
        <w:fldChar w:fldCharType="begin" w:fldLock="1"/>
      </w:r>
      <w:r>
        <w:rPr>
          <w:rFonts w:ascii="Times New Roman" w:hAnsi="Times New Roman" w:cs="Times New Roman"/>
        </w:rPr>
        <w:instrText>ADDIN CSL_CITATION {"citationItems":[{"id":"ITEM-1","itemData":{"DOI":"10.1007/s10661-007-9855-3","ISSN":"01676369","PMID":"17593532","abstract":"Aquatic vegetation is an important component of wetland and coastal ecosystems, playing a key role in the ecological functions of these environments. Surveys of macrophyte communities are commonly hindered by logistic problems, and remote sensing represents a powerful alternative, allowing comprehensive assessment and monitoring. Also, many vegetation characteristics can be estimated from reflectance measurements, such as species composition, vegetation structure, biomass, and plant physiological parameters. However, proper use of these methods requires an understanding of the physical processes behind the interaction between electromagnetic radiation and vegetation, and remote sensing of aquatic plants have some particular difficulties that have to be properly addressed in order to obtain successful results. The present paper reviews the theoretical background and possible applications of remote sensing techniques to the study of aquatic vegetation. © Springer Science+Business Media B.V. 2007.","author":[{"dropping-particle":"","family":"Silva","given":"Thiago S.F.","non-dropping-particle":"","parse-names":false,"suffix":""},{"dropping-particle":"","family":"Costa","given":"Maycira P.F.","non-dropping-particle":"","parse-names":false,"suffix":""},{"dropping-particle":"","family":"Melack","given":"John M.","non-dropping-particle":"","parse-names":false,"suffix":""},{"dropping-particle":"","family":"Novo","given":"Evlyn M.L.M.","non-dropping-particle":"","parse-names":false,"suffix":""}],"container-title":"Environmental Monitoring and Assessment","id":"ITEM-1","issue":"1-3","issued":{"date-parts":[["2008"]]},"page":"131-145","title":"Remote sensing of aquatic vegetation: Theory and applications","type":"article-journal","volume":"140"},"uris":["http://www.mendeley.com/documents/?uuid=5a1daa7f-2e8a-446d-a287-f01a8d980389"]}],"mendeley":{"formattedCitation":"(Silva et al., 2008)","plainTextFormattedCitation":"(Silva et al., 2008)","previouslyFormattedCitation":"(Silva et al., 2008)"},"properties":{"noteIndex":0},"schema":"https://github.com/citation-style-language/schema/raw/master/csl-citation.json"}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(Silva et al., 2008).</w:t>
      </w:r>
      <w:r>
        <w:rPr>
          <w:rFonts w:ascii="Times New Roman" w:hAnsi="Times New Roman" w:cs="Times New Roman"/>
        </w:rPr>
        <w:fldChar w:fldCharType="end"/>
      </w:r>
    </w:p>
    <w:p w14:paraId="1DA90652" w14:textId="77777777" w:rsidR="00CF0628" w:rsidRPr="00352C77" w:rsidRDefault="00CF0628" w:rsidP="00A623D5">
      <w:pPr>
        <w:pStyle w:val="Heading3"/>
        <w:spacing w:line="360" w:lineRule="auto"/>
        <w:ind w:left="720"/>
        <w:rPr>
          <w:rFonts w:ascii="Times New Roman" w:hAnsi="Times New Roman" w:cs="Times New Roman"/>
        </w:rPr>
      </w:pPr>
      <w:bookmarkStart w:id="65" w:name="_Toc234133582"/>
      <w:bookmarkStart w:id="66" w:name="_Toc237884296"/>
      <w:r>
        <w:rPr>
          <w:rFonts w:ascii="Times New Roman" w:hAnsi="Times New Roman" w:cs="Times New Roman"/>
        </w:rPr>
        <w:t>2.5.2 Spectral Confusion</w:t>
      </w:r>
      <w:bookmarkEnd w:id="65"/>
      <w:bookmarkEnd w:id="66"/>
    </w:p>
    <w:p w14:paraId="78642A10" w14:textId="77777777" w:rsidR="00CF0628" w:rsidRPr="00352C77" w:rsidRDefault="00CF0628" w:rsidP="00A623D5">
      <w:pPr>
        <w:pStyle w:val="ListParagraph"/>
        <w:spacing w:after="160" w:line="360" w:lineRule="auto"/>
        <w:ind w:left="720"/>
        <w:jc w:val="both"/>
        <w:rPr>
          <w:rFonts w:ascii="Times New Roman" w:hAnsi="Times New Roman" w:cs="Times New Roman"/>
        </w:rPr>
      </w:pPr>
      <w:r>
        <w:rPr>
          <w:rFonts w:ascii="Times New Roman" w:hAnsi="Times New Roman" w:cs="Times New Roman"/>
        </w:rPr>
        <w:t xml:space="preserve">A second challenge is spectral confusion, in which surfaces other than macrophytes produce index values that resemble those of vegetation. Dense phytoplankton or cyanobacterial blooms, floating algal scums, exposed wet sediment and shallow bright-bottomed areas can all raise NDVI or otherwise mimic the spectral signature of weeds, leading to misclassification </w:t>
      </w:r>
      <w:r>
        <w:rPr>
          <w:rFonts w:ascii="Times New Roman" w:hAnsi="Times New Roman" w:cs="Times New Roman"/>
        </w:rPr>
        <w:fldChar w:fldCharType="begin" w:fldLock="1"/>
      </w:r>
      <w:r>
        <w:rPr>
          <w:rFonts w:ascii="Times New Roman" w:hAnsi="Times New Roman" w:cs="Times New Roman"/>
        </w:rPr>
        <w:instrText>ADDIN CSL_CITATION {"citationItems":[{"id":"ITEM-1","itemData":{"DOI":"10.1016/j.rse.2014.04.031","ISSN":"00344257","abstract":"Satellite remote sensing can be considered a suitable approach to monitor the extent of cyanobacterial blooms compared with conventional ship surveys because of the patchiness and high spatial and temporal variability of the blooms. However, most of the existing algorithms are not capable of distinguishing cyanobacterial blooms and aquatic macrophytes due to their similar spectral characteristics in the red and near infrared (NIR) wavelengths. In this study, we conducted in situ spectral measurements and satellite data analyses for cyanobacterial blooms and aquatic macrophytes to find an effective method to distinguish them using medium-resolution Landsat satellite images. The reflectance spectra were measured for lake waters and cyanobacterial blooms with 13 different chlorophyll-a concentration levels (from 54 to 21,736μgL-1) and four types of aquatic macrophytes (two emerged and two floating-leaved macrophytes) in the wavelength range from 350 to 2500nm. In addition, seven Landsat images were collected for nine lakes in Japan or Indonesia. We calculated several selected indices, i.e., the normalized difference vegetation index (NDVI), five types of normalized difference water index (NDWI), and the floating algal index (FAI) to find an appropriate index for distinguishing cyanobacterial blooms and aquatic macrophytes.The results showed that the spectral characteristics of cyanobacterial blooms were significantly different from those of aquatic macrophytes in the short-wave infrared (SWIR) region, indicating that the SWIR bands are important for distinguishing cyanobacterial blooms and aquatic macrophytes. The results also showed that the combination of FAI and NDWI4,5 was an effective method for classifying lake areas. We first used the FAI for extracting lake waters, and we then used the NDWI4,5 to classify the remaining areas as cyanobacterial blooms or aquatic macrophytes. The results also showed that the threshold of NDWI4,5 was less sensitive to the effects of both the atmosphere and mixed pixels compared to the other indices. Our application of the FAI threshold of 0.05 and the NDWI4,5 threshold of 0.63 to six lakes in Japan and Indonesia showed that the proposed method could successfully distinguish lake water, cyanobacterial blooms, and aquatic macrophytes.","author":[{"dropping-particle":"","family":"Oyama","given":"Yoichi","non-dropping-particle":"","parse-names":false,"suffix":""},{"dropping-particle":"","family":"Matsushita","given":"Bunkei","non-dropping-particle":"","parse-names":false,"suffix":""},{"dropping-particle":"","family":"Fukushima","given":"Takehiko","non-dropping-particle":"","parse-names":false,"suffix":""}],"container-title":"Remote Sensing of Environment","id":"ITEM-1","issued":{"date-parts":[["2015"]]},"page":"35-47","title":"Distinguishing surface cyanobacterial blooms and aquatic macrophytes using Landsat/TM and ETM+ shortwave infrared bands","type":"article-journal","volume":"157"},"uris":["http://www.mendeley.com/documents/?uuid=9011677a-0ce1-4613-bf05-ed6e520d6795"]}],"mendeley":{"formattedCitation":"(Oyama et al., 2015)","plainTextFormattedCitation":"(Oyama et al., 2015)","previouslyFormattedCitation":"(Oyama et al., 2015)"},"properties":{"noteIndex":0},"schema":"https://github.com/citation-style-language/schema/raw/master/csl-citation.json"}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(Oyama et al., 2015; Belayhun et al., 2024). Distinguishing</w:t>
      </w:r>
      <w:r>
        <w:rPr>
          <w:rFonts w:ascii="Times New Roman" w:hAnsi="Times New Roman" w:cs="Times New Roman"/>
        </w:rPr>
        <w:fldChar w:fldCharType="end"/>
      </w:r>
      <w:r>
        <w:rPr>
          <w:rFonts w:ascii="Times New Roman" w:hAnsi="Times New Roman" w:cs="Times New Roman"/>
        </w:rPr>
        <w:fldChar w:fldCharType="begin" w:fldLock="1"/>
      </w:r>
      <w:r>
        <w:rPr>
          <w:rFonts w:ascii="Times New Roman" w:hAnsi="Times New Roman" w:cs="Times New Roman"/>
        </w:rPr>
        <w:instrText>ADDIN CSL_CITATION {"citationItems":[{"id":"ITEM-1","itemData":{"DOI":"10.3389/fenvs.2024.1476014","ISSN":"2296665X","abstract":"Water hyacinth (Pontederia crassipes) is an invasive weed that covers a significant portion of Lake Tana. The infestation has an impact on the lake’s ecological and socioeconomic systems. Early detection of the spread of water hyacinth using geospatial techniques is crucial for its effective management and control. The main objective of this study was to examine the spatiotemporal distribution of water hyacinth from 2016 to 2022 using a random forest machine learning model. The study used 16 variables obtained from Sentinel-2A, Sentinel-1 SAR, and SRTM DEM, and a random forest supervised classification model was applied. Seven spectral indices, five spectral bands, two Sentinel-1 SAR bands, and two topographic variables were used in combination to model the spatial distribution of water hyacinth. The model was evaluated using the overall accuracy and kappa coefficient. The findings demonstrated that the overall accuracy ranged from 0.91 to 0.94 and kappa coefficient from 0.88 to 0.92 in the wet season and 0.93 to 0.95 and 0.90 to 0.93 in the dry season, respectively. B11 and B5 (2022), VH, soil adjusted vegetation index (SAVI), and normalized difference water index (NDWI) (2020), B5 and B12 (2018), and VH and slope (2016) are the highly important variables in the classification. The study found that the spatial coverage of water hyacinth was 686.5 and 650.4 ha (2016), 1,851 and 1,259 ha (2018), 1,396.7 and 1,305.7 ha (2020), and 1,436.5 and 1,216.5 ha (2022) in the wet and dry seasons, respectively. The research findings indicate that variables derived from optical (Sentinel-2A and SRTM) and non-optical (Sentinel-1 SAR) satellite imagery effectively identify water hyacinth and display its spatiotemporal spread using the random forest machine learning algorithm.","author":[{"dropping-particle":"","family":"Belayhun","given":"Matiwos","non-dropping-particle":"","parse-names":false,"suffix":""},{"dropping-particle":"","family":"Chere","given":"Zerihun","non-dropping-particle":"","parse-names":false,"suffix":""},{"dropping-particle":"","family":"Abay","given":"Nigus Gebremedhn","non-dropping-particle":"","parse-names":false,"suffix":""},{"dropping-particle":"","family":"Nicola","given":"Yonas","non-dropping-particle":"","parse-names":false,"suffix":""},{"dropping-particle":"","family":"Asmamaw","given":"Abay","non-dropping-particle":"","parse-names":false,"suffix":""}],"container-title":"Frontiers in Environmental Science","id":"ITEM-1","issued":{"date-parts":[["2024"]]},"publisher":"Frontiers Media SA","title":"Spatiotemporal pattern of water hyacinth (Pontederia crassipes) distribution in Lake Tana, Ethiopia, using a random forest machine learning model","type":"article-journal","volume":"12"},"uris":["http://www.mendeley.com/documents/?uuid=edbca94d-30e7-3b6e-9e5f-8a6ad9b55784"]}],"mendeley":{"formattedCitation":"(Belayhun et al., 2024)","plainTextFormattedCitation":"(Belayhun et al., 2024)","previouslyFormattedCitation":"(Belayhun et al., 2024)"},"properties":{"noteIndex":0},"schema":"https://github.com/citation-style-language/schema/raw/master/csl-citation.json"}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xml:space="preserve"> surface algal blooms from rooted or floating macrophytes is a recognised difficulty and is one reason specialised indices such as the Floating Algae Index and the paired use of water indices have been developed. Without ground-truth data or complementary indices, NDVI alone may over- or under-estimate true weed cover.</w:t>
      </w:r>
    </w:p>
    <w:p w14:paraId="35AEA372" w14:textId="77777777" w:rsidR="00CF0628" w:rsidRPr="00352C77" w:rsidRDefault="00CF0628" w:rsidP="00A623D5">
      <w:pPr>
        <w:pStyle w:val="Heading3"/>
        <w:spacing w:line="360" w:lineRule="auto"/>
        <w:ind w:left="720"/>
        <w:rPr>
          <w:rFonts w:ascii="Times New Roman" w:hAnsi="Times New Roman" w:cs="Times New Roman"/>
        </w:rPr>
      </w:pPr>
      <w:bookmarkStart w:id="67" w:name="_Toc234133583"/>
      <w:bookmarkStart w:id="68" w:name="_Toc237884297"/>
      <w:r>
        <w:rPr>
          <w:rFonts w:ascii="Times New Roman" w:hAnsi="Times New Roman" w:cs="Times New Roman"/>
        </w:rPr>
        <w:t>2.5.3 Trade-offs Between Spatial and Temporal Resolution</w:t>
      </w:r>
      <w:bookmarkEnd w:id="67"/>
      <w:bookmarkEnd w:id="68"/>
    </w:p>
    <w:p w14:paraId="07C11B2B" w14:textId="77777777" w:rsidR="00CF0628" w:rsidRPr="00352C77" w:rsidRDefault="00CF0628" w:rsidP="00A623D5">
      <w:pPr>
        <w:pStyle w:val="ListParagraph"/>
        <w:spacing w:after="160" w:line="360" w:lineRule="auto"/>
        <w:ind w:left="720"/>
        <w:jc w:val="both"/>
        <w:rPr>
          <w:rFonts w:ascii="Times New Roman" w:hAnsi="Times New Roman" w:cs="Times New Roman"/>
        </w:rPr>
      </w:pPr>
      <w:r>
        <w:rPr>
          <w:rFonts w:ascii="Times New Roman" w:hAnsi="Times New Roman" w:cs="Times New Roman"/>
        </w:rPr>
        <w:t xml:space="preserve">All satellite monitoring involves a trade-off between spatial resolution, spectral resolution, temporal frequency and cost. Very high spatial resolution imagery can resolve small weed patches but is expensive, covers limited areas and is acquired infrequently, whereas freely available moderate-resolution sensors such as Sentinel-2 offer frequent revisits and open access at the cost of coarser detail. Cloud cover, which is frequent over tropical lakes, further reduces the number of usable images and can bias analyses toward particular seasons. Selecting an appropriate sensor therefore requires balancing the size of the </w:t>
      </w:r>
      <w:r>
        <w:rPr>
          <w:rFonts w:ascii="Times New Roman" w:hAnsi="Times New Roman" w:cs="Times New Roman"/>
        </w:rPr>
        <w:lastRenderedPageBreak/>
        <w:t xml:space="preserve">features of interest against the need for regular, affordable and cloud-free coverage </w:t>
      </w:r>
      <w:r>
        <w:rPr>
          <w:rFonts w:ascii="Times New Roman" w:hAnsi="Times New Roman" w:cs="Times New Roman"/>
        </w:rPr>
        <w:fldChar w:fldCharType="begin" w:fldLock="1"/>
      </w:r>
      <w:r>
        <w:rPr>
          <w:rFonts w:ascii="Times New Roman" w:hAnsi="Times New Roman" w:cs="Times New Roman"/>
        </w:rPr>
        <w:instrText>ADDIN CSL_CITATION {"citationItems":[{"id":"ITEM-1","itemData":{"DOI":"10.1111/j.1365-2427.2009.02294.x","ISSN":"00465070","abstract":"Water hyacinth (Eichhornia crassipes) is one of the world's most invasive aquatic plants and is known to cause significant ecological and socio-economic effects. Water hyacinth can alter water clarity and decrease phytoplankton production, dissolved oxygen, nitrogen, phosphorous, heavy metals and concentrations of other contaminants. The effects of water hyacinth on ecological communities appear to be largely nonlinear. Abundance and diversity of aquatic invertebrates generally increase in response to increased habitat heterogeneity and structural complexity provided by water hyacinth but decrease due to decreased phytoplankton (food) availability. Effects of water hyacinth on fish are largely dependent on original community composition and food-web structure. A more diverse and abundant epiphytic invertebrate community may increase fish abundance and diversity, but a decrease in phytoplankton may decrease dissolved oxygen concentrations and planktivorous fish abundance, subsequently affecting higher trophic levels. Little is known about the effects of water hyacinth on waterbird communities; however, increases in macroinvertebrate and fish abundance and diversity suggest a potentially positive interaction with waterbirds when water hyacinth is at moderate density. The socio-economic effects of water hyacinth are dependent on the extent of the invasion, the uses of the impacted waterbody, control methods and the response to control efforts. Ecosystem-level research programmes that simultaneously monitor the effects of water hyacinth on multiple trophic-levels are needed to further our understanding of invasive species. © 2009 Blackwell Publishing Ltd.","author":[{"dropping-particle":"","family":"Villamagna","given":"A. M.","non-dropping-particle":"","parse-names":false,"suffix":""},{"dropping-particle":"","family":"Murphy","given":"B. R.","non-dropping-particle":"","parse-names":false,"suffix":""}],"container-title":"Freshwater Biology","id":"ITEM-1","issue":"2","issued":{"date-parts":[["2010"]]},"page":"282-298","title":"Ecological and socio-economic impacts of invasive water hyacinth (Eichhornia crassipes): A review","type":"article-journal","volume":"55"},"uris":["http://www.mendeley.com/documents/?uuid=23c3c9ff-5b0b-4186-b8f2-a8dafa519f83"]}],"mendeley":{"formattedCitation":"(Villamagna &amp; Murphy, 2010)","plainTextFormattedCitation":"(Villamagna &amp; Murphy, 2010)","previouslyFormattedCitation":"(Villamagna &amp; Murphy, 2010)"},"properties":{"noteIndex":0},"schema":"https://github.com/citation-style-language/schema/raw/master/csl-citation.json"}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 xml:space="preserve">(Villamagna &amp; Murphy, 2010; </w:t>
      </w:r>
      <w:r>
        <w:rPr>
          <w:rFonts w:ascii="Times New Roman" w:hAnsi="Times New Roman" w:cs="Times New Roman"/>
        </w:rPr>
        <w:fldChar w:fldCharType="end"/>
      </w:r>
      <w:r>
        <w:rPr>
          <w:rFonts w:ascii="Times New Roman" w:hAnsi="Times New Roman" w:cs="Times New Roman"/>
        </w:rPr>
        <w:fldChar w:fldCharType="begin" w:fldLock="1"/>
      </w:r>
      <w:r>
        <w:rPr>
          <w:rFonts w:ascii="Times New Roman" w:hAnsi="Times New Roman" w:cs="Times New Roman"/>
        </w:rPr>
        <w:instrText>ADDIN CSL_CITATION {"citationItems":[{"id":"ITEM-1","itemData":{"DOI":"10.1080/01431169608948714","ISSN":"13665901","abstract":"The Normalized Difference Water Index (NDWI) is a new method that has been developed to delineate open water features and enhance their presence in remotely-sensed digital imagery. The NDWI makes use of reflected near-infrared radiation and visible green light to enhance the presence of such features while eliminating the presence of soil and terrestrial vegetation features. It is suggested that the NDWI may also provide researchers with turbidity estimations of water bodies using remotely-sensed digital data. © 1996 Taylor &amp; Francis Ltd.","author":[{"dropping-particle":"","family":"McFeeters","given":"S. K.","non-dropping-particle":"","parse-names":false,"suffix":""}],"container-title":"International Journal of Remote Sensing","id":"ITEM-1","issue":"7","issued":{"date-parts":[["1996"]]},"page":"1425-1432","title":"The use of the Normalized Difference Water Index (NDWI) in the delineation of open water features","type":"article-journal","volume":"17"},"uris":["http://www.mendeley.com/documents/?uuid=467538dd-e39a-4dc9-b951-2945e37e7ad1"]}],"mendeley":{"formattedCitation":"(McFeeters, 1996)","plainTextFormattedCitation":"(McFeeters, 1996)","previouslyFormattedCitation":"(McFeeters, 1996)"},"properties":{"noteIndex":0},"schema":"https://github.com/citation-style-language/schema/raw/master/csl-citation.json"}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McFeeters, 1996)</w:t>
      </w:r>
      <w:r>
        <w:rPr>
          <w:rFonts w:ascii="Times New Roman" w:hAnsi="Times New Roman" w:cs="Times New Roman"/>
        </w:rPr>
        <w:fldChar w:fldCharType="end"/>
      </w:r>
      <w:r>
        <w:rPr>
          <w:rFonts w:ascii="Times New Roman" w:hAnsi="Times New Roman" w:cs="Times New Roman"/>
        </w:rPr>
        <w:t>.</w:t>
      </w:r>
    </w:p>
    <w:p w14:paraId="163BF06E" w14:textId="77777777" w:rsidR="00CF0628" w:rsidRPr="00352C77" w:rsidRDefault="00CF0628" w:rsidP="00A623D5">
      <w:pPr>
        <w:pStyle w:val="Heading3"/>
        <w:spacing w:line="360" w:lineRule="auto"/>
        <w:ind w:left="720"/>
        <w:rPr>
          <w:rFonts w:ascii="Times New Roman" w:hAnsi="Times New Roman" w:cs="Times New Roman"/>
        </w:rPr>
      </w:pPr>
      <w:bookmarkStart w:id="69" w:name="_Toc234133584"/>
      <w:bookmarkStart w:id="70" w:name="_Toc237884298"/>
      <w:r>
        <w:rPr>
          <w:rFonts w:ascii="Times New Roman" w:hAnsi="Times New Roman" w:cs="Times New Roman"/>
        </w:rPr>
        <w:t>2.5.4 Contextual Challenges for Small Tropical Lakes</w:t>
      </w:r>
      <w:bookmarkEnd w:id="69"/>
      <w:bookmarkEnd w:id="70"/>
    </w:p>
    <w:p w14:paraId="14835B18" w14:textId="77777777" w:rsidR="00CF0628" w:rsidRPr="00352C77" w:rsidRDefault="00CF0628" w:rsidP="00A623D5">
      <w:pPr>
        <w:pStyle w:val="ListParagraph"/>
        <w:spacing w:after="160" w:line="360" w:lineRule="auto"/>
        <w:ind w:left="720"/>
        <w:jc w:val="both"/>
        <w:rPr>
          <w:rFonts w:ascii="Times New Roman" w:hAnsi="Times New Roman" w:cs="Times New Roman"/>
        </w:rPr>
      </w:pPr>
      <w:r>
        <w:rPr>
          <w:rFonts w:ascii="Times New Roman" w:hAnsi="Times New Roman" w:cs="Times New Roman"/>
        </w:rPr>
        <w:t xml:space="preserve">Small, shallow tropical lakes such as Lake Wamala present a particularly demanding combination of these challenges. Their modest surface area means that individual weed patches may approach the resolution limit of moderate-resolution sensors; their shallowness and high turbidity intensify water-column and bottom-reflectance effects; and their strong seasonal and inter-annual variability complicates change detection. In addition, such lakes are frequently under-studied and lack the long records of in-situ measurement available for larger, more prominent water bodies (Ademola </w:t>
      </w:r>
      <w:r>
        <w:rPr>
          <w:rFonts w:ascii="Times New Roman" w:hAnsi="Times New Roman" w:cs="Times New Roman"/>
        </w:rPr>
        <w:fldChar w:fldCharType="begin" w:fldLock="1"/>
      </w:r>
      <w:r>
        <w:rPr>
          <w:rFonts w:ascii="Times New Roman" w:hAnsi="Times New Roman" w:cs="Times New Roman"/>
        </w:rPr>
        <w:instrText>ADDIN CSL_CITATION {"citationItems":[{"id":"ITEM-1","itemData":{"DOI":"10.4314/bajopas.v13i1.28S","abstract":"Aquatic Macrophytes refer to a diverse group of aquatic photosynthetic organisms that are large enough to be seen with the naked eye. Their abundance and species composition are greatly influenced by eutrophication. Macrophytes occurrence and their diversity in four seasonal peri-urban water bodies; Malalau (Site A), Rafin yan wanki (Site B), Kofar durbi (Site C), and Rafin yan tifa (Site D) in Katsina metropolis was assessed along with the pollution status of the water. The taxa diversity showed the presence of 7 species of Macrophytes in Site A and D identified as; red water fern (Azolla pinnata), water hyacinth (Eichhornia crassipes), duck weed (Spirodela polyrhiza), water lettuce (Pistia stratiotes), pond weed (Aponogeton subconjugatus), blue water lily (Nymphaea lotus), and floating heart (Nymphoides thunbergiana). Only (duck weed) was found in (Site B), whereas no single Macrophyte species was recorded in Site C. The results of physico-chemical parameters showed that the respective nitrate-nitrogen in site A (10.20 ± 0.14 mg/L), and site D (9.48 ± 0.11 mg/L) where significantly higher (p ˂ 0.05) compared to site B (6.58 ± 0.13 mg/L) and site C (1.33 ± 0.09 mg/L). A similar trend was observed in phosphate level, but not significant (p ˃ 0.05). The abundance of Macrophytes appeared to be more positively correlated with nitrogen than phosphorous. The occurrence of Macrophytes and their abundance in this research was an indication of urban pollution.","author":[{"dropping-particle":"","family":"Ademola","given":"Babatunde Taofik","non-dropping-particle":"","parse-names":false,"suffix":""},{"dropping-particle":"","family":"Mahuta","given":"Saifullahi Ibrahim","non-dropping-particle":"","parse-names":false,"suffix":""},{"dropping-particle":"","family":"Abdulkarim","given":"Babangida","non-dropping-particle":"","parse-names":false,"suffix":""},{"dropping-particle":"","family":"Argungu","given":"Lawali Alkali","non-dropping-particle":"","parse-names":false,"suffix":""}],"container-title":"Bayero Journal of Pure and Applied Sciences","id":"ITEM-1","issue":"1","issued":{"date-parts":[["2022"]]},"page":"173-179","title":"MACROPHYTES ABUNDANCE IN RELATION TO EUTROPHICATION STATUS OF PERI-URBAN IMPOUNDMENTS IN KATSINA METROPOLIS, NIGERIA","type":"article-journal","volume":"13"},"uris":["http://www.mendeley.com/documents/?uuid=6dfa8afe-41f1-34fd-b518-5da17068f904"]}],"mendeley":{"formattedCitation":"(Ademola et al., 2022)","plainTextFormattedCitation":"(Ademola et al., 2022)","previouslyFormattedCitation":"(Ademola et al., 2022)"},"properties":{"noteIndex":0},"schema":"https://github.com/citation-style-language/schema/raw/master/csl-citation.json"}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 xml:space="preserve">et al., 2022; </w:t>
      </w:r>
      <w:r>
        <w:rPr>
          <w:rFonts w:ascii="Times New Roman" w:hAnsi="Times New Roman" w:cs="Times New Roman"/>
        </w:rPr>
        <w:fldChar w:fldCharType="end"/>
      </w:r>
      <w:r>
        <w:rPr>
          <w:rFonts w:ascii="Times New Roman" w:hAnsi="Times New Roman" w:cs="Times New Roman"/>
        </w:rPr>
        <w:fldChar w:fldCharType="begin" w:fldLock="1"/>
      </w:r>
      <w:r>
        <w:rPr>
          <w:rFonts w:ascii="Times New Roman" w:hAnsi="Times New Roman" w:cs="Times New Roman"/>
        </w:rPr>
        <w:instrText>ADDIN CSL_CITATION {"citationItems":[{"id":"ITEM-1","itemData":{"ISBN":"9789970881475","author":[{"dropping-particle":"","family":"King","given":"Steven","non-dropping-particle":"","parse-names":false,"suffix":""},{"dropping-particle":"","family":"Okello","given":"Paul Okello","non-dropping-particle":"","parse-names":false,"suffix":""},{"dropping-particle":"","family":"Ogwal","given":"Francis","non-dropping-particle":"","parse-names":false,"suffix":""}],"id":"ITEM-1","issued":{"date-parts":[["0"]]},"title":"Fisheries Resources Accounts for Uganda","type":"book"},"uris":["http://www.mendeley.com/documents/?uuid=00419a4a-c486-343d-90c5-e2c4c43f229a"]}],"mendeley":{"formattedCitation":"(King et al., n.d.)","plainTextFormattedCitation":"(King et al., n.d.)","previouslyFormattedCitation":"(King et al., n.d.)"},"properties":{"noteIndex":0},"schema":"https://github.com/citation-style-language/schema/raw/master/csl-citation.json"}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King et al., n.d.)</w:t>
      </w:r>
      <w:r>
        <w:rPr>
          <w:rFonts w:ascii="Times New Roman" w:hAnsi="Times New Roman" w:cs="Times New Roman"/>
        </w:rPr>
        <w:fldChar w:fldCharType="end"/>
      </w:r>
      <w:r>
        <w:rPr>
          <w:rFonts w:ascii="Times New Roman" w:hAnsi="Times New Roman" w:cs="Times New Roman"/>
        </w:rPr>
        <w:t>. These contextual factors mean that methods validated on large lakes cannot simply be assumed to transfer to smaller systems without local calibration and careful interpretation.</w:t>
      </w:r>
    </w:p>
    <w:p w14:paraId="0E4A64DD" w14:textId="77777777" w:rsidR="00CF0628" w:rsidRPr="00352C77" w:rsidRDefault="00CF0628" w:rsidP="00A623D5">
      <w:pPr>
        <w:pStyle w:val="Heading2"/>
        <w:spacing w:line="360" w:lineRule="auto"/>
        <w:ind w:left="720"/>
        <w:rPr>
          <w:rFonts w:ascii="Times New Roman" w:hAnsi="Times New Roman" w:cs="Times New Roman"/>
        </w:rPr>
      </w:pPr>
      <w:bookmarkStart w:id="71" w:name="_Toc234133585"/>
      <w:bookmarkStart w:id="72" w:name="_Toc237884299"/>
      <w:r>
        <w:rPr>
          <w:rFonts w:ascii="Times New Roman" w:hAnsi="Times New Roman" w:cs="Times New Roman"/>
        </w:rPr>
        <w:t>2.6 Synthesis and Identification of the Research Gap</w:t>
      </w:r>
      <w:bookmarkEnd w:id="71"/>
      <w:bookmarkEnd w:id="72"/>
    </w:p>
    <w:p w14:paraId="570C2E27" w14:textId="77777777" w:rsidR="00CF0628" w:rsidRPr="00352C77" w:rsidRDefault="00CF0628" w:rsidP="00A623D5">
      <w:pPr>
        <w:pStyle w:val="Heading3"/>
        <w:spacing w:line="360" w:lineRule="auto"/>
        <w:ind w:left="720"/>
        <w:rPr>
          <w:rFonts w:ascii="Times New Roman" w:hAnsi="Times New Roman" w:cs="Times New Roman"/>
        </w:rPr>
      </w:pPr>
      <w:bookmarkStart w:id="73" w:name="_Toc234133586"/>
      <w:bookmarkStart w:id="74" w:name="_Toc237884300"/>
      <w:r>
        <w:rPr>
          <w:rFonts w:ascii="Times New Roman" w:hAnsi="Times New Roman" w:cs="Times New Roman"/>
        </w:rPr>
        <w:t>2.6.1 Summary of Established Knowledge</w:t>
      </w:r>
      <w:bookmarkEnd w:id="73"/>
      <w:bookmarkEnd w:id="74"/>
    </w:p>
    <w:p w14:paraId="09536D08" w14:textId="77777777" w:rsidR="00CF0628" w:rsidRPr="00352C77" w:rsidRDefault="00CF0628" w:rsidP="00A623D5">
      <w:pPr>
        <w:pStyle w:val="ListParagraph"/>
        <w:spacing w:after="160" w:line="360" w:lineRule="auto"/>
        <w:ind w:left="720"/>
        <w:jc w:val="both"/>
        <w:rPr>
          <w:rFonts w:ascii="Times New Roman" w:hAnsi="Times New Roman" w:cs="Times New Roman"/>
        </w:rPr>
      </w:pPr>
      <w:r>
        <w:rPr>
          <w:rFonts w:ascii="Times New Roman" w:hAnsi="Times New Roman" w:cs="Times New Roman"/>
        </w:rPr>
        <w:t>Taken together, the reviewed literature establishes several well-supported points. Aquatic weed infestation is a serious and recurrent problem in East African lakes, driven principally by nutrient enrichment, shallow bathymetry and hydrodynamic shelter, and tends to concentrate in specific inshore locations rather than spreading uniformly. Optical remote sensing, and NDVI in particular, provides a mature, synoptic and cost-effective means of mapping surface and floating vegetation, and its performance is substantially improved when it is paired with a water-detection index such as NDWI (</w:t>
      </w:r>
      <w:proofErr w:type="spellStart"/>
      <w:r>
        <w:rPr>
          <w:rFonts w:ascii="Times New Roman" w:hAnsi="Times New Roman" w:cs="Times New Roman"/>
        </w:rPr>
        <w:t>Shekede</w:t>
      </w:r>
      <w:proofErr w:type="spellEnd"/>
      <w:r>
        <w:rPr>
          <w:rFonts w:ascii="Times New Roman" w:hAnsi="Times New Roman" w:cs="Times New Roman"/>
        </w:rPr>
        <w:t xml:space="preserve"> et al., 2023)</w:t>
      </w:r>
      <w:r>
        <w:rPr>
          <w:rFonts w:ascii="Times New Roman" w:hAnsi="Times New Roman" w:cs="Times New Roman"/>
        </w:rPr>
        <w:fldChar w:fldCharType="begin" w:fldLock="1"/>
      </w:r>
      <w:r>
        <w:rPr>
          <w:rFonts w:ascii="Times New Roman" w:hAnsi="Times New Roman" w:cs="Times New Roman"/>
        </w:rPr>
        <w:instrText>ADDIN CSL_CITATION {"citationItems":[{"id":"ITEM-1","itemData":{"DOI":"10.17159/wsa/2023.v49.i1.3950","ISSN":"1816-7950","abstract":"&lt;p&gt;This study quantified the spatial and temporal variation of aquatic weeds in two lakes in an urban catchment of Zimbabwe using the automatic water extraction index (AWEI) and normalised difference vegetation index (NDVI) derived from Landsat satellite data from 1986 to 2020. Extent of aquatic weeds estimated using AWEI in Lake Chivero increased from less than 1 km2 (4%) in 1986 to 7 km2 (27%) in 2020. NDVI-based aquatic weed estimation gave the least spatial extent in the first few years. Similarly, in Lake Manyame aquatic weeds occupied ~62 ha (&amp;lt;1% in 1986) before reaching a peak extent of 60 km2 (~70%) in 1995, based on AWEI estimates. NDVI-derived aquatic weed extent ranged from less than 2 km2 in 1997 to a maximum of 56.12 km2 in 1994. Although AWEI and NDVI estimated similar extents, NDVI had higher estimates than AWEI. A non-significant positive trend in aquatic weed extent was detected for Lake Manyame based on AWEI (Mann-Kendal tau = 0.139, s = 69, p = 0.27) and NDVI (Mann-Kendal tau = 0.129, s = 64, p = 0.307). In Lake Chivero, a non-significant negative trend was observed in aquatic weed extent based on NDVI (Mann-Kendal tau = −0.06, s = −30, p = 0.6382), while a positive trend was detected using AWEI (tau = 0.0036, s = 18, p = 0.7827). Results of the regression analysis indicate that phosphorus (R2 = 0.7957, p = 0.00122) and nitrogen (R2 = 0.8992, p = 0.0011) significantly explained variations in aquatic weed infestation in Lake Chivero. These results suggest that phosphorus and nitrogen enrichment are key drivers of aquatic weed proliferation in the two lakes. Thus, sustainable management of water resources in the catchment hinges on reducing the amount of nutrients released into the lakes from sewage treatment plants and croplands.&lt;/p&gt;","author":[{"dropping-particle":"","family":"Munyaradzi Davis Shekede","given":"","non-dropping-particle":"","parse-names":false,"suffix":""},{"dropping-particle":"","family":"Takudzwa Gondo","given":"","non-dropping-particle":"","parse-names":false,"suffix":""},{"dropping-particle":"","family":"Melisa Matavire Mavhenge","given":"","non-dropping-particle":"","parse-names":false,"suffix":""},{"dropping-particle":"","family":"Aldridge Nyasha Mazhindu","given":"","non-dropping-particle":"","parse-names":false,"suffix":""}],"container-title":"Water SA","id":"ITEM-1","issue":"1 January","issued":{"date-parts":[["2023","1","31"]]},"title":"Using Landsat satellite imagery to monitor the spatial and temporal dynamics of aquatic weed extent in Lakes Chivero and Manyame, located in an urban catchment of Zimbabwe","type":"article-journal","volume":"49"},"uris":["http://www.mendeley.com/documents/?uuid=94a52a77-d4e3-3c8e-8090-3d8d55c7b561"]}],"mendeley":{"formattedCitation":"(Munyaradzi Davis Shekede et al., 2023)","plainTextFormattedCitation":"(Munyaradzi Davis Shekede et al., 2023)","previouslyFormattedCitation":"(Munyaradzi Davis Shekede et al., 2023)"},"properties":{"noteIndex":0},"schema":"https://github.com/citation-style-language/schema/raw/master/csl-citation.json"}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 The limitations of the approach, notably water-column interference, spectral confusion, resolution trade-offs and sensitivity to climate variability, are also well documented. This body of knowledge provides a solid and reliable foundation for index-based weed monitoring.</w:t>
      </w:r>
    </w:p>
    <w:p w14:paraId="608A7DBB" w14:textId="77777777" w:rsidR="00CF0628" w:rsidRPr="00352C77" w:rsidRDefault="00CF0628" w:rsidP="00A623D5">
      <w:pPr>
        <w:pStyle w:val="Heading3"/>
        <w:spacing w:line="360" w:lineRule="auto"/>
        <w:ind w:left="720"/>
        <w:rPr>
          <w:rFonts w:ascii="Times New Roman" w:hAnsi="Times New Roman" w:cs="Times New Roman"/>
        </w:rPr>
      </w:pPr>
      <w:bookmarkStart w:id="75" w:name="_Toc234133587"/>
      <w:bookmarkStart w:id="76" w:name="_Toc237884301"/>
      <w:r>
        <w:rPr>
          <w:rFonts w:ascii="Times New Roman" w:hAnsi="Times New Roman" w:cs="Times New Roman"/>
        </w:rPr>
        <w:t>2.6.2 Critique of the Focus on Large Water Bodies</w:t>
      </w:r>
      <w:bookmarkEnd w:id="75"/>
      <w:bookmarkEnd w:id="76"/>
    </w:p>
    <w:p w14:paraId="3C06671E" w14:textId="77777777" w:rsidR="00CF0628" w:rsidRPr="00352C77" w:rsidRDefault="00CF0628" w:rsidP="00A623D5">
      <w:pPr>
        <w:pStyle w:val="ListParagraph"/>
        <w:spacing w:after="160" w:line="360" w:lineRule="auto"/>
        <w:ind w:left="720"/>
        <w:jc w:val="both"/>
        <w:rPr>
          <w:rFonts w:ascii="Times New Roman" w:hAnsi="Times New Roman" w:cs="Times New Roman"/>
        </w:rPr>
      </w:pPr>
      <w:r>
        <w:rPr>
          <w:rFonts w:ascii="Times New Roman" w:hAnsi="Times New Roman" w:cs="Times New Roman"/>
        </w:rPr>
        <w:t xml:space="preserve">A critical reading of the literature reveals, however, a pronounced bias toward large and prominent water bodies. The great majority of remote-sensing studies of aquatic weeds in the region have concentrated on Lake Victoria and comparable large systems, whose size, </w:t>
      </w:r>
      <w:r>
        <w:rPr>
          <w:rFonts w:ascii="Times New Roman" w:hAnsi="Times New Roman" w:cs="Times New Roman"/>
        </w:rPr>
        <w:lastRenderedPageBreak/>
        <w:t>economic importance and international profile have attracted sustained research attention and funding. Smaller inland lakes, despite supporting significant fisheries and local livelihoods, have received far less systematic study. Methods, thresholds and interpretations developed for large lakes are often assumed to apply elsewhere, yet the contextual challenges outlined above suggest that smaller, shallower and more turbid lakes may behave differently and require dedicated analysis.</w:t>
      </w:r>
    </w:p>
    <w:p w14:paraId="5CAED139" w14:textId="77777777" w:rsidR="00CF0628" w:rsidRPr="00352C77" w:rsidRDefault="00CF0628" w:rsidP="00A623D5">
      <w:pPr>
        <w:pStyle w:val="Heading3"/>
        <w:spacing w:line="360" w:lineRule="auto"/>
        <w:ind w:left="720"/>
        <w:rPr>
          <w:rFonts w:ascii="Times New Roman" w:hAnsi="Times New Roman" w:cs="Times New Roman"/>
        </w:rPr>
      </w:pPr>
      <w:bookmarkStart w:id="77" w:name="_Toc234133588"/>
      <w:bookmarkStart w:id="78" w:name="_Toc237884302"/>
      <w:r>
        <w:rPr>
          <w:rFonts w:ascii="Times New Roman" w:hAnsi="Times New Roman" w:cs="Times New Roman"/>
        </w:rPr>
        <w:t>2.6.3 The Research Gap</w:t>
      </w:r>
      <w:bookmarkEnd w:id="77"/>
      <w:bookmarkEnd w:id="78"/>
    </w:p>
    <w:p w14:paraId="399D640E" w14:textId="77777777" w:rsidR="00CF0628" w:rsidRPr="00352C77" w:rsidRDefault="00CF0628" w:rsidP="00A623D5">
      <w:pPr>
        <w:pStyle w:val="ListParagraph"/>
        <w:spacing w:after="160" w:line="360" w:lineRule="auto"/>
        <w:ind w:left="720"/>
        <w:jc w:val="both"/>
        <w:rPr>
          <w:rFonts w:ascii="Times New Roman" w:hAnsi="Times New Roman" w:cs="Times New Roman"/>
        </w:rPr>
      </w:pPr>
      <w:r>
        <w:rPr>
          <w:rFonts w:ascii="Times New Roman" w:hAnsi="Times New Roman" w:cs="Times New Roman"/>
        </w:rPr>
        <w:t>The gap that emerges from this synthesis is the scarcity of focused, pixel-level studies that apply freely available satellite data to the monitoring of aquatic weeds on small tropical lakes. In particular, there is little published work that integrates spatial, temporal and seasonal analysis of NDVI and NDWI for a lake such as Lake Wamala, links the resulting patterns to identifiable management zones, and accounts for the confounding influence of climate-driven water-level change. The combination of a small, under-studied lake, an accessible and reproducible methodology based on open Sentinel-2 data, and an explicitly spatial-temporal analytical design defines a clear and worthwhile gap in the current knowledge.</w:t>
      </w:r>
    </w:p>
    <w:p w14:paraId="66143996" w14:textId="77777777" w:rsidR="00CF0628" w:rsidRPr="00352C77" w:rsidRDefault="00CF0628" w:rsidP="00A623D5">
      <w:pPr>
        <w:pStyle w:val="Heading3"/>
        <w:spacing w:line="360" w:lineRule="auto"/>
        <w:ind w:left="720"/>
        <w:rPr>
          <w:rFonts w:ascii="Times New Roman" w:hAnsi="Times New Roman" w:cs="Times New Roman"/>
        </w:rPr>
      </w:pPr>
      <w:bookmarkStart w:id="79" w:name="_Toc234133589"/>
      <w:bookmarkStart w:id="80" w:name="_Toc237884303"/>
      <w:r>
        <w:rPr>
          <w:rFonts w:ascii="Times New Roman" w:hAnsi="Times New Roman" w:cs="Times New Roman"/>
        </w:rPr>
        <w:t>2.6.4 How the Present Study Addresses the Gap</w:t>
      </w:r>
      <w:bookmarkEnd w:id="79"/>
      <w:bookmarkEnd w:id="80"/>
    </w:p>
    <w:p w14:paraId="30F21ACA" w14:textId="77777777" w:rsidR="00CF0628" w:rsidRPr="00352C77" w:rsidRDefault="00CF0628" w:rsidP="00A623D5">
      <w:pPr>
        <w:pStyle w:val="ListParagraph"/>
        <w:spacing w:after="160" w:line="360" w:lineRule="auto"/>
        <w:ind w:left="720"/>
        <w:jc w:val="both"/>
        <w:rPr>
          <w:rFonts w:ascii="Times New Roman" w:hAnsi="Times New Roman" w:cs="Times New Roman"/>
        </w:rPr>
      </w:pPr>
      <w:r>
        <w:rPr>
          <w:rFonts w:ascii="Times New Roman" w:hAnsi="Times New Roman" w:cs="Times New Roman"/>
        </w:rPr>
        <w:t>The present study addresses this gap directly. It applies NDVI and NDWI, derived from freely available Sentinel-2 imagery, to a large pixel-level dataset drawn from multiple stations, regions and ecological zones on Lake Wamala, across several years and months. By combining spatial distribution, temporal trend and seasonal analysis within a single framework, and by interpreting the results in the light of climate variability, the study aims to identify where weed infestation is concentrated, how it has changed over time, and how monitoring and management can be spatially targeted. In doing so it extends established remote-sensing methods to an under-studied small tropical lake and demonstrates a low-cost, reproducible approach that could be transferred to comparable water bodies.</w:t>
      </w:r>
    </w:p>
    <w:p w14:paraId="52FA956B" w14:textId="77777777" w:rsidR="00CF0628" w:rsidRPr="00352C77" w:rsidRDefault="00CF0628" w:rsidP="00A623D5">
      <w:pPr>
        <w:pStyle w:val="Heading2"/>
        <w:spacing w:line="360" w:lineRule="auto"/>
        <w:ind w:left="720"/>
        <w:rPr>
          <w:rFonts w:ascii="Times New Roman" w:hAnsi="Times New Roman" w:cs="Times New Roman"/>
        </w:rPr>
      </w:pPr>
      <w:bookmarkStart w:id="81" w:name="_Toc234133590"/>
      <w:bookmarkStart w:id="82" w:name="_Toc237884304"/>
      <w:r>
        <w:rPr>
          <w:rFonts w:ascii="Times New Roman" w:hAnsi="Times New Roman" w:cs="Times New Roman"/>
        </w:rPr>
        <w:t>2.7 Conclusion</w:t>
      </w:r>
      <w:bookmarkEnd w:id="81"/>
      <w:bookmarkEnd w:id="82"/>
    </w:p>
    <w:p w14:paraId="72430222" w14:textId="77777777" w:rsidR="00CF0628" w:rsidRPr="00352C77" w:rsidRDefault="00CF0628" w:rsidP="00A623D5">
      <w:pPr>
        <w:pStyle w:val="ListParagraph"/>
        <w:spacing w:after="160" w:line="360" w:lineRule="auto"/>
        <w:ind w:left="720"/>
        <w:jc w:val="both"/>
        <w:rPr>
          <w:rFonts w:ascii="Times New Roman" w:hAnsi="Times New Roman" w:cs="Times New Roman"/>
        </w:rPr>
      </w:pPr>
      <w:r>
        <w:rPr>
          <w:rFonts w:ascii="Times New Roman" w:hAnsi="Times New Roman" w:cs="Times New Roman"/>
        </w:rPr>
        <w:t xml:space="preserve">This review has shown that NDVI, especially when used together with a complementary water index such as NDWI, provides a reliable, mature and cost-effective basis for </w:t>
      </w:r>
      <w:r>
        <w:rPr>
          <w:rFonts w:ascii="Times New Roman" w:hAnsi="Times New Roman" w:cs="Times New Roman"/>
        </w:rPr>
        <w:lastRenderedPageBreak/>
        <w:t xml:space="preserve">monitoring aquatic vegetation from freely available satellite imagery. It has also situated NDVI within the wider family of spectral indices, including NDWI, MNDWI, EVI, SAVI and the aquatic-specific FAI, NDAVI and WAVI, and has explained why the NDVI-NDWI pairing is best suited to the resource constraints of the present study (Mihi </w:t>
      </w:r>
      <w:r>
        <w:rPr>
          <w:rFonts w:ascii="Times New Roman" w:hAnsi="Times New Roman" w:cs="Times New Roman"/>
        </w:rPr>
        <w:fldChar w:fldCharType="begin" w:fldLock="1"/>
      </w:r>
      <w:r>
        <w:rPr>
          <w:rFonts w:ascii="Times New Roman" w:hAnsi="Times New Roman" w:cs="Times New Roman"/>
        </w:rPr>
        <w:instrText>ADDIN CSL_CITATION {"citationItems":[{"id":"ITEM-1","itemData":{"DOI":"10.1007/s12665-022-10513-7","ISSN":"18666299","abstract":"Desertification is an environmental threat that affects many countries in the world, and it poses specially an ecological issue to Algeria. This study aimed to assess areas sensitive to desertification in North-Eastern Algeria (Tebessa province) using a logistic regression model (LRM), and geomatics-based approaches. Topsoil Grain Size Index (TGSI), Normalized Difference Vegetation Index (NDVI), Aridity index (AI), and Anthropic pressure on the steppe environment (APSE) were selected as desertification indicators for representing land surface conditions from soil, vegetation, climate, and anthropic disruptors. Results indicate that both AI and TGSI are the most crucial indices conditioning desertification risk. Other indices; NDVI and ASPE were appeared as secondary important indices. Herein, although vegetation generally is a key factor for reading desertification, this result shows that vegetation changes in this study are less important than other desertification conditioning parameters. Area under curve value equal 0.94 indicates a satisfactory accuracy for the proposed model. In total, desertification risk changes increasingly along a North-to-South gradient of the whole research area. Besides, slight, moderate, high, and very high classes occupied 0.87%, 21.08%, 19.33% and 58.72% of the total land area, respectively. LRM is recommended as an accurate and easily applied tool to monitor desertification, especially in scarce data environment in developing countries. Additionally, the results obtained in this paper represent a basic scientific tool for implementing current and future policies to control desertification at areas with high risk.","author":[{"dropping-particle":"","family":"Mihi","given":"Ali","non-dropping-particle":"","parse-names":false,"suffix":""},{"dropping-particle":"","family":"Ghazela","given":"Rabeh","non-dropping-particle":"","parse-names":false,"suffix":""},{"dropping-particle":"","family":"wissal","given":"Daoud","non-dropping-particle":"","parse-names":false,"suffix":""}],"container-title":"Environmental Earth Sciences","id":"ITEM-1","issue":"15","issued":{"date-parts":[["2022","8","1"]]},"publisher":"Springer Science and Business Media Deutschland GmbH","title":"Mapping potential desertification-prone areas in North-Eastern Algeria using logistic regression model, GIS, and remote sensing techniques","type":"article-journal","volume":"81"},"uris":["http://www.mendeley.com/documents/?uuid=07fc9d1a-c119-36be-acc0-447a49f5f425"]}],"mendeley":{"formattedCitation":"(Mihi et al., 2022)","plainTextFormattedCitation":"(Mihi et al., 2022)","previouslyFormattedCitation":"(Mihi et al., 2022)"},"properties":{"noteIndex":0},"schema":"https://github.com/citation-style-language/schema/raw/master/csl-citation.json"}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et al., 2022).</w:t>
      </w:r>
      <w:r>
        <w:rPr>
          <w:rFonts w:ascii="Times New Roman" w:hAnsi="Times New Roman" w:cs="Times New Roman"/>
        </w:rPr>
        <w:fldChar w:fldCharType="end"/>
      </w:r>
      <w:r>
        <w:rPr>
          <w:rFonts w:ascii="Times New Roman" w:hAnsi="Times New Roman" w:cs="Times New Roman"/>
        </w:rPr>
        <w:t xml:space="preserve"> At the same time, the review has acknowledged the genuine limitations of the approach, from water-column interference and spectral confusion to resolution trade-offs and climate sensitivity. Against this background, the specific research gap is the lack of integrated, spatial-temporal, index-based studies of aquatic weeds on small tropical lakes using open satellite data. By addressing that gap for Lake Wamala, this study contributes a practical and transferable method for monitoring weed dynamics and for directing limited management resources to where they are most needed.</w:t>
      </w:r>
    </w:p>
    <w:p w14:paraId="0FB5D182" w14:textId="77777777" w:rsidR="00DB0109" w:rsidRPr="00352C77" w:rsidRDefault="007B6AAF" w:rsidP="00A623D5">
      <w:pPr>
        <w:pStyle w:val="Heading1"/>
        <w:pageBreakBefore/>
        <w:spacing w:line="360" w:lineRule="auto"/>
        <w:rPr>
          <w:rFonts w:ascii="Times New Roman" w:hAnsi="Times New Roman" w:cs="Times New Roman"/>
        </w:rPr>
      </w:pPr>
      <w:bookmarkStart w:id="83" w:name="_Toc237884305"/>
      <w:r>
        <w:rPr>
          <w:rFonts w:ascii="Times New Roman" w:hAnsi="Times New Roman" w:cs="Times New Roman"/>
        </w:rPr>
        <w:lastRenderedPageBreak/>
        <w:t>CHAPTER THREE: MATERIALS AND METHODS</w:t>
      </w:r>
      <w:bookmarkEnd w:id="83"/>
    </w:p>
    <w:p w14:paraId="4D332525" w14:textId="77777777" w:rsidR="003F30FB" w:rsidRPr="00352C77" w:rsidRDefault="007B6AAF" w:rsidP="00A623D5">
      <w:pPr>
        <w:pStyle w:val="Heading2"/>
        <w:spacing w:line="360" w:lineRule="auto"/>
        <w:rPr>
          <w:rFonts w:ascii="Times New Roman" w:hAnsi="Times New Roman" w:cs="Times New Roman"/>
        </w:rPr>
      </w:pPr>
      <w:bookmarkStart w:id="84" w:name="_Toc237884306"/>
      <w:r>
        <w:rPr>
          <w:rFonts w:ascii="Times New Roman" w:hAnsi="Times New Roman" w:cs="Times New Roman"/>
        </w:rPr>
        <w:t>3.1 Study Area</w:t>
      </w:r>
      <w:bookmarkEnd w:id="84"/>
    </w:p>
    <w:p w14:paraId="3E24C9C5" w14:textId="77777777" w:rsidR="00345BBD"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The study was conducted on Lake Wamala and its surrounding drainage basin in central Uganda. Lake Wamala is a shallow lake occupying a broad, low-relief basin, lying at approximately 0.30°–0.36° N and 31.82°–31.89° E, with a surface area of about 250 km² and a mean depth of roughly 4.5 metres, which places it among the ten largest lakes in Uganda. The lake and its shoreline are shared among the districts of </w:t>
      </w:r>
      <w:proofErr w:type="spellStart"/>
      <w:r>
        <w:rPr>
          <w:rFonts w:ascii="Times New Roman" w:hAnsi="Times New Roman" w:cs="Times New Roman"/>
        </w:rPr>
        <w:t>Mityana</w:t>
      </w:r>
      <w:proofErr w:type="spellEnd"/>
      <w:r>
        <w:rPr>
          <w:rFonts w:ascii="Times New Roman" w:hAnsi="Times New Roman" w:cs="Times New Roman"/>
        </w:rPr>
        <w:t xml:space="preserve">, </w:t>
      </w:r>
      <w:proofErr w:type="spellStart"/>
      <w:r>
        <w:rPr>
          <w:rFonts w:ascii="Times New Roman" w:hAnsi="Times New Roman" w:cs="Times New Roman"/>
        </w:rPr>
        <w:t>Mubende</w:t>
      </w:r>
      <w:proofErr w:type="spellEnd"/>
      <w:r>
        <w:rPr>
          <w:rFonts w:ascii="Times New Roman" w:hAnsi="Times New Roman" w:cs="Times New Roman"/>
        </w:rPr>
        <w:t xml:space="preserve">, </w:t>
      </w:r>
      <w:proofErr w:type="spellStart"/>
      <w:r>
        <w:rPr>
          <w:rFonts w:ascii="Times New Roman" w:hAnsi="Times New Roman" w:cs="Times New Roman"/>
        </w:rPr>
        <w:t>Kassanda</w:t>
      </w:r>
      <w:proofErr w:type="spellEnd"/>
      <w:r>
        <w:rPr>
          <w:rFonts w:ascii="Times New Roman" w:hAnsi="Times New Roman" w:cs="Times New Roman"/>
        </w:rPr>
        <w:t xml:space="preserve"> and Gomba in the Buganda region, and the lake holds strong cultural significance for the surrounding communities. It is dotted with several islands and fringed by extensive papyrus and other wetland vegetation.</w:t>
      </w:r>
    </w:p>
    <w:p w14:paraId="245D4F6D" w14:textId="77777777" w:rsidR="00345BBD"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Because aquatic weed proliferation is driven as much by processes in the wider catchment as by conditions in the open water, the study area was defined to encompass the Lake Wamala basin rather than the lake surface alone. The lake is the terminal water body of a low-relief catchment fed by several seasonal rivers and streams, including the Nyanzi, Kitenga, </w:t>
      </w:r>
      <w:proofErr w:type="spellStart"/>
      <w:r>
        <w:rPr>
          <w:rFonts w:ascii="Times New Roman" w:hAnsi="Times New Roman" w:cs="Times New Roman"/>
        </w:rPr>
        <w:t>Kaabasuma</w:t>
      </w:r>
      <w:proofErr w:type="spellEnd"/>
      <w:r>
        <w:rPr>
          <w:rFonts w:ascii="Times New Roman" w:hAnsi="Times New Roman" w:cs="Times New Roman"/>
        </w:rPr>
        <w:t xml:space="preserve">, </w:t>
      </w:r>
      <w:proofErr w:type="spellStart"/>
      <w:r>
        <w:rPr>
          <w:rFonts w:ascii="Times New Roman" w:hAnsi="Times New Roman" w:cs="Times New Roman"/>
        </w:rPr>
        <w:t>Mpamujugu</w:t>
      </w:r>
      <w:proofErr w:type="spellEnd"/>
      <w:r>
        <w:rPr>
          <w:rFonts w:ascii="Times New Roman" w:hAnsi="Times New Roman" w:cs="Times New Roman"/>
        </w:rPr>
        <w:t xml:space="preserve"> and </w:t>
      </w:r>
      <w:proofErr w:type="spellStart"/>
      <w:r>
        <w:rPr>
          <w:rFonts w:ascii="Times New Roman" w:hAnsi="Times New Roman" w:cs="Times New Roman"/>
        </w:rPr>
        <w:t>Bbimbye</w:t>
      </w:r>
      <w:proofErr w:type="spellEnd"/>
      <w:r>
        <w:rPr>
          <w:rFonts w:ascii="Times New Roman" w:hAnsi="Times New Roman" w:cs="Times New Roman"/>
        </w:rPr>
        <w:t xml:space="preserve">, while its swampy south-western margins form part of the headwaters of the </w:t>
      </w:r>
      <w:proofErr w:type="spellStart"/>
      <w:r>
        <w:rPr>
          <w:rFonts w:ascii="Times New Roman" w:hAnsi="Times New Roman" w:cs="Times New Roman"/>
        </w:rPr>
        <w:t>Katonga</w:t>
      </w:r>
      <w:proofErr w:type="spellEnd"/>
      <w:r>
        <w:rPr>
          <w:rFonts w:ascii="Times New Roman" w:hAnsi="Times New Roman" w:cs="Times New Roman"/>
        </w:rPr>
        <w:t xml:space="preserve"> River, linking the basin to the wider Lake Victoria drainage (Victoria Water Management Zone). The basin experiences a bimodal tropical climate, with rainfall concentrated in two wet seasons (approximately March–May and September–November) separated by drier periods, and lake levels that rise and fall markedly in response to this seasonal and inter-annual rainfall variability.</w:t>
      </w:r>
    </w:p>
    <w:p w14:paraId="2ABCDFAA" w14:textId="77777777" w:rsidR="00345BBD"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Land use across the basin is dominated by smallholder and commercial agriculture, including intensive cultivation associated with schemes such as the </w:t>
      </w:r>
      <w:proofErr w:type="spellStart"/>
      <w:r>
        <w:rPr>
          <w:rFonts w:ascii="Times New Roman" w:hAnsi="Times New Roman" w:cs="Times New Roman"/>
        </w:rPr>
        <w:t>Kibimba</w:t>
      </w:r>
      <w:proofErr w:type="spellEnd"/>
      <w:r>
        <w:rPr>
          <w:rFonts w:ascii="Times New Roman" w:hAnsi="Times New Roman" w:cs="Times New Roman"/>
        </w:rPr>
        <w:t xml:space="preserve"> (Tilda) rice scheme, alongside livestock keeping, fishing settlements and a growing human population. Ongoing deforestation, wetland encroachment and poor agricultural practices in the catchment generate nutrient-rich runoff, siltation and organic pollution that enter the lake through its inflowing rivers. This catchment-derived nutrient enrichment is a principal driver of eutrophication and of the rapid growth of aquatic weeds on the lake, and it underlies the spatial and seasonal patterns of infestation that this study set out to map. A basin-scale perspective therefore provides the physical and land-use context needed to interpret the NDVI- and NDWI-derived patterns of weed cover reported in this study.</w:t>
      </w:r>
    </w:p>
    <w:p w14:paraId="2ADD5925" w14:textId="77777777" w:rsidR="00345BBD"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lastRenderedPageBreak/>
        <w:t>For the purposes of analysis, the lake was divided into five regions (Northern, Southern, Eastern, Western and a Dynamic Targeting area) and seven ecological zone types (Open Water, No Weed Infestation Control, Transitional, Near Shore, High Seasonal Infestation Variation, Excessive Weed Infestation Hotspot and Very High Variation Sudd Zone). The extent of the lake and the surrounding sub-counties that make up the study area are shown in Figure 2.</w:t>
      </w:r>
    </w:p>
    <w:p w14:paraId="08B1B8DC" w14:textId="77777777" w:rsidR="006369DB" w:rsidRPr="00352C77" w:rsidRDefault="006369DB" w:rsidP="00A623D5">
      <w:pPr>
        <w:keepNext/>
        <w:spacing w:after="160" w:line="360" w:lineRule="auto"/>
        <w:jc w:val="both"/>
        <w:rPr>
          <w:rFonts w:ascii="Times New Roman" w:hAnsi="Times New Roman" w:cs="Times New Roman"/>
        </w:rPr>
      </w:pPr>
      <w:r>
        <w:rPr>
          <w:rFonts w:ascii="Times New Roman" w:hAnsi="Times New Roman" w:cs="Times New Roman"/>
          <w:noProof/>
        </w:rPr>
        <w:drawing>
          <wp:inline distT="0" distB="0" distL="0" distR="0" wp14:anchorId="6EC99D6C" wp14:editId="47A9258E">
            <wp:extent cx="5625866" cy="3962400"/>
            <wp:effectExtent l="0" t="0" r="0" b="0"/>
            <wp:docPr id="1232049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049332" name=""/>
                    <pic:cNvPicPr/>
                  </pic:nvPicPr>
                  <pic:blipFill>
                    <a:blip r:embed="rId12"/>
                    <a:stretch>
                      <a:fillRect/>
                    </a:stretch>
                  </pic:blipFill>
                  <pic:spPr>
                    <a:xfrm>
                      <a:off x="0" y="0"/>
                      <a:ext cx="5740214" cy="4042937"/>
                    </a:xfrm>
                    <a:prstGeom prst="rect">
                      <a:avLst/>
                    </a:prstGeom>
                  </pic:spPr>
                </pic:pic>
              </a:graphicData>
            </a:graphic>
          </wp:inline>
        </w:drawing>
      </w:r>
    </w:p>
    <w:p w14:paraId="250D904A" w14:textId="0152FF39" w:rsidR="006369DB" w:rsidRPr="00352C77" w:rsidRDefault="006369DB" w:rsidP="00A623D5">
      <w:pPr>
        <w:pStyle w:val="Caption"/>
        <w:spacing w:line="360" w:lineRule="auto"/>
        <w:jc w:val="center"/>
        <w:rPr>
          <w:rFonts w:ascii="Times New Roman" w:hAnsi="Times New Roman" w:cs="Times New Roman"/>
        </w:rPr>
      </w:pPr>
      <w:bookmarkStart w:id="85" w:name="_Toc237884363"/>
      <w:r>
        <w:rPr>
          <w:rFonts w:ascii="Times New Roman" w:hAnsi="Times New Roman" w:cs="Times New Roman"/>
        </w:rPr>
        <w:t xml:space="preserve">Figure </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402E51">
        <w:rPr>
          <w:rFonts w:ascii="Times New Roman" w:hAnsi="Times New Roman" w:cs="Times New Roman"/>
          <w:noProof/>
        </w:rPr>
        <w:t>2</w:t>
      </w:r>
      <w:r>
        <w:rPr>
          <w:rFonts w:ascii="Times New Roman" w:hAnsi="Times New Roman" w:cs="Times New Roman"/>
          <w:noProof/>
        </w:rPr>
        <w:fldChar w:fldCharType="end"/>
      </w:r>
      <w:r>
        <w:rPr>
          <w:rFonts w:ascii="Times New Roman" w:hAnsi="Times New Roman" w:cs="Times New Roman"/>
        </w:rPr>
        <w:t>: Map of Lake Wamala and the neighbouring sub-counties</w:t>
      </w:r>
      <w:bookmarkEnd w:id="85"/>
    </w:p>
    <w:p w14:paraId="14651B7C" w14:textId="77777777" w:rsidR="003F30FB" w:rsidRPr="00352C77" w:rsidRDefault="007B6AAF" w:rsidP="00A623D5">
      <w:pPr>
        <w:pStyle w:val="Heading2"/>
        <w:spacing w:line="360" w:lineRule="auto"/>
        <w:rPr>
          <w:rFonts w:ascii="Times New Roman" w:hAnsi="Times New Roman" w:cs="Times New Roman"/>
        </w:rPr>
      </w:pPr>
      <w:bookmarkStart w:id="86" w:name="_Toc900000850"/>
      <w:bookmarkStart w:id="87" w:name="_Toc237884307"/>
      <w:r>
        <w:rPr>
          <w:rFonts w:ascii="Times New Roman" w:hAnsi="Times New Roman" w:cs="Times New Roman"/>
        </w:rPr>
        <w:t>3.2 Research Approach</w:t>
      </w:r>
      <w:bookmarkEnd w:id="86"/>
      <w:bookmarkEnd w:id="87"/>
    </w:p>
    <w:p w14:paraId="05DC2B28"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This study adopted a quantitative research approach. The phenomenon of interest, the presence and density of aquatic weeds on Lake Wamala, was represented through measurable spectral quantities, the Normalized Difference Vegetation Index (NDVI) and the Normalized Difference Water Index (NDWI), and was examined using numerical and statistical procedures rather than through narrative or interpretive description. The approach is grounded in a positivist paradigm, in which knowledge about the lake is built from objective, observable and measurable evidence that can be independently verified and reproduced. It relied on secondary, sensor-derived data </w:t>
      </w:r>
      <w:r>
        <w:rPr>
          <w:rFonts w:ascii="Times New Roman" w:hAnsi="Times New Roman" w:cs="Times New Roman"/>
        </w:rPr>
        <w:lastRenderedPageBreak/>
        <w:t>rather than on the perceptions or experiences of respondents, and its findings are expressed as statistics, distributions and tested relationships.</w:t>
      </w:r>
    </w:p>
    <w:p w14:paraId="6A705F77"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The study was deductive in its reasoning. It proceeded from established theory and prior findings on the contrasting reflectance of vegetation and water to a set of specific, testable hypotheses concerning the spatial, temporal, seasonal and correlational patterns of weed cover (Section 3.9.2), which were then evaluated against the satellite data. A quantitative, deductive approach was appropriate because the research questions concern the magnitude, distribution and statistical significance of differences and relationships in weed cover, and these are best answered through measurement and hypothesis testing rather than through the exploration of meanings or social processes. A qualitative or mixed-methods component was therefore not adopted, as the objectives did not require the elicitation of attitudes, perceptions or experiential accounts.</w:t>
      </w:r>
    </w:p>
    <w:p w14:paraId="740B5270" w14:textId="77777777" w:rsidR="003F30FB" w:rsidRPr="00352C77" w:rsidRDefault="007B6AAF" w:rsidP="00A623D5">
      <w:pPr>
        <w:pStyle w:val="Heading2"/>
        <w:spacing w:line="360" w:lineRule="auto"/>
        <w:rPr>
          <w:rFonts w:ascii="Times New Roman" w:hAnsi="Times New Roman" w:cs="Times New Roman"/>
        </w:rPr>
      </w:pPr>
      <w:bookmarkStart w:id="88" w:name="_Toc237884308"/>
      <w:r>
        <w:rPr>
          <w:rFonts w:ascii="Times New Roman" w:hAnsi="Times New Roman" w:cs="Times New Roman"/>
        </w:rPr>
        <w:t>3.3 Research Design</w:t>
      </w:r>
      <w:bookmarkEnd w:id="88"/>
    </w:p>
    <w:p w14:paraId="71667657" w14:textId="77777777" w:rsidR="003F30FB"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The study adopted a quantitative, remote-sensing-based observational design. It is quantitative because the phenomenon of interest, aquatic weed cover, was reduced to numerical spectral indices and analysed statistically; it is observational because the lake was monitored as it exists, without experimental manipulation. The design combined three complementary comparisons within a single analytical framework: a cross-sectional comparison of vegetation and water signatures across regions and ecological zone types; a longitudinal comparison across three observation years (2017, 2022 and 2025). and a seasonal comparison across five months (January, February, March, June and September). This multi-dimensional structure allows the study to characterise not only where weeds occur, but also how their distribution changes over years and seasons.</w:t>
      </w:r>
    </w:p>
    <w:p w14:paraId="02D6D7ED" w14:textId="77777777" w:rsidR="003F30FB"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The dependent (outcome) variables were the two continuous spectral indices, the Normalized Difference Vegetation Index (NDVI) and the Normalized Difference Water Index (NDWI), measured at the level of the individual satellite pixel. The independent (grouping) variables were the categorical factors used to partition the lake, namely region, ecological zone type, year and month. Each pixel therefore constituted a single unit of observation carrying a value for both indices together with its region, zone, year, month and station labels. The variables and their measurement levels are defined formally in Section 3.8.</w:t>
      </w:r>
    </w:p>
    <w:p w14:paraId="07265D5E" w14:textId="77777777" w:rsidR="003F30FB" w:rsidRPr="00352C77" w:rsidRDefault="007B6AAF" w:rsidP="00A623D5">
      <w:pPr>
        <w:pStyle w:val="Heading2"/>
        <w:spacing w:line="360" w:lineRule="auto"/>
        <w:rPr>
          <w:rFonts w:ascii="Times New Roman" w:hAnsi="Times New Roman" w:cs="Times New Roman"/>
        </w:rPr>
      </w:pPr>
      <w:bookmarkStart w:id="89" w:name="_Toc237884309"/>
      <w:r>
        <w:rPr>
          <w:rFonts w:ascii="Times New Roman" w:hAnsi="Times New Roman" w:cs="Times New Roman"/>
        </w:rPr>
        <w:lastRenderedPageBreak/>
        <w:t>3.4 Data Source and Acquisition</w:t>
      </w:r>
      <w:bookmarkEnd w:id="89"/>
    </w:p>
    <w:p w14:paraId="65D89074" w14:textId="77777777" w:rsidR="003F30FB"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Multispectral imagery was obtained from the Sentinel-2 mission of the European Space Agency under the Copernicus Programme (CDSE), using the Level-2A (L2A) product, which provides Bottom-of-Atmosphere (BOA) atmospherically corrected surface reflectance. Rather than downloading and mosaicking individual scenes manually, the spectral data were extracted through cloud computing on the Google Earth Engine (GEE) platform, which hosts the full Sentinel-2 archive and permits server-side processing of large image collections. Imagery was assembled for three years (2017, 2022 and 2025) and five months (January, February, March, June and September), chosen to represent dry-season, transitional and wet-season conditions within the bimodal rainfall regime of the Lake Victoria basin.</w:t>
      </w:r>
    </w:p>
    <w:p w14:paraId="402A908B" w14:textId="77777777" w:rsidR="003F30FB"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To manage the persistent </w:t>
      </w:r>
      <w:proofErr w:type="gramStart"/>
      <w:r>
        <w:rPr>
          <w:rFonts w:ascii="Times New Roman" w:hAnsi="Times New Roman" w:cs="Times New Roman"/>
        </w:rPr>
        <w:t>cloud</w:t>
      </w:r>
      <w:proofErr w:type="gramEnd"/>
      <w:r>
        <w:rPr>
          <w:rFonts w:ascii="Times New Roman" w:hAnsi="Times New Roman" w:cs="Times New Roman"/>
        </w:rPr>
        <w:t xml:space="preserve"> cover typical of an equatorial lake, a strict cloud-cover threshold of five percent was applied to the image collection, and residual atmospheric noise and cloud-fringe artefacts were removed pixel-by-pixel using the Sentinel-2 QA60 quality-assessment band. For each target month a monthly median composite was then generated within GEE, so that each pixel value represents the median of all valid, cloud-free observations in that month. Median compositing suppresses transient outliers such as thin cloud, sun-glint and sensor noise, and mitigates the data gaps that commonly interrupt optical remote sensing during the rainy season.</w:t>
      </w:r>
    </w:p>
    <w:p w14:paraId="3BF7E9F5" w14:textId="77777777" w:rsidR="003F30FB" w:rsidRPr="00352C77" w:rsidRDefault="007B6AAF" w:rsidP="00A623D5">
      <w:pPr>
        <w:pStyle w:val="Heading2"/>
        <w:spacing w:line="360" w:lineRule="auto"/>
        <w:rPr>
          <w:rFonts w:ascii="Times New Roman" w:hAnsi="Times New Roman" w:cs="Times New Roman"/>
        </w:rPr>
      </w:pPr>
      <w:bookmarkStart w:id="90" w:name="_Toc237884310"/>
      <w:r>
        <w:rPr>
          <w:rFonts w:ascii="Times New Roman" w:hAnsi="Times New Roman" w:cs="Times New Roman"/>
        </w:rPr>
        <w:t>3.5 Sampling Design</w:t>
      </w:r>
      <w:bookmarkEnd w:id="90"/>
    </w:p>
    <w:p w14:paraId="30D71E18" w14:textId="77777777" w:rsidR="003F30FB"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A stratified spatial sampling design was used to capture the heterogeneity of the lake while keeping the dataset computationally manageable. Sixteen permanent virtual sampling stations were established as fixed anchor coordinates across the five regions. Within each of the four directional regions, three stations were positioned to represent a depth and exposure gradient: a Near-Shore station (capturing emergent, rooted vegetation such as papyrus and </w:t>
      </w:r>
      <w:r>
        <w:rPr>
          <w:rFonts w:ascii="Times New Roman" w:hAnsi="Times New Roman" w:cs="Times New Roman"/>
          <w:i/>
        </w:rPr>
        <w:t>Typha</w:t>
      </w:r>
      <w:r>
        <w:rPr>
          <w:rFonts w:ascii="Times New Roman" w:hAnsi="Times New Roman" w:cs="Times New Roman"/>
        </w:rPr>
        <w:t xml:space="preserve"> without land-signal interference), a Transitional station (tracking mobile corridors of floating weed rafts such as water hyacinth), and an Open-Water station (providing a clear-water control in the deeper pelagic basin). Four additional dynamic-targeting stations were placed at ecologically critical locations, including a eutrophic river-delta hotspot, a maximum-depth clear-water control, a floating-vegetation migration channel and a seasonally variable river outlet. The full station matrix is presented in Table 1.</w:t>
      </w:r>
    </w:p>
    <w:p w14:paraId="47AA3A23" w14:textId="77777777" w:rsidR="003F30FB"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lastRenderedPageBreak/>
        <w:t>Around each of the sixteen station coordinates, a circular buffer of 30-metre radius was defined and intersected with the native 10-metre resolution of the Sentinel-2 visible and near-infrared bands (Bands 2, 3, 4 and 8), so that each buffer resolved into an array of individual 10 m × 10 m grid cells rather than a single averaged value. Every grid cell was sampled independently, preserving fine-scale weed patchiness that plot-averaging would obscure. Because exhaustive extraction of every pixel across all dates would have produced an unwieldy dataset, a five-percent representative pixel sample was drawn in a manner that preserved the proportional structure of stations, regions, zones, years and months. The final master dataset comprised 30,296 pixel-level observations of NDVI and NDWI. The distribution of the sixteen sampling stations across the lake is shown in Figure 3.</w:t>
      </w:r>
    </w:p>
    <w:p w14:paraId="68852C20" w14:textId="77777777" w:rsidR="00FF2CA1" w:rsidRPr="00352C77" w:rsidRDefault="00FF2CA1" w:rsidP="00A623D5">
      <w:pPr>
        <w:pStyle w:val="Caption"/>
        <w:keepNext/>
        <w:rPr>
          <w:rFonts w:ascii="Times New Roman" w:hAnsi="Times New Roman" w:cs="Times New Roman"/>
        </w:rPr>
      </w:pPr>
      <w:bookmarkStart w:id="91" w:name="_Toc237884349"/>
      <w:r>
        <w:rPr>
          <w:rFonts w:ascii="Times New Roman" w:hAnsi="Times New Roman" w:cs="Times New Roman"/>
        </w:rPr>
        <w:t xml:space="preserve">Table </w:t>
      </w:r>
      <w:r>
        <w:rPr>
          <w:rFonts w:ascii="Times New Roman" w:hAnsi="Times New Roman" w:cs="Times New Roman"/>
        </w:rPr>
        <w:fldChar w:fldCharType="begin"/>
      </w:r>
      <w:r>
        <w:rPr>
          <w:rFonts w:ascii="Times New Roman" w:hAnsi="Times New Roman" w:cs="Times New Roman"/>
        </w:rPr>
        <w:instrText xml:space="preserve"> SEQ Table \* ARABIC </w:instrText>
      </w:r>
      <w:r>
        <w:rPr>
          <w:rFonts w:ascii="Times New Roman" w:hAnsi="Times New Roman" w:cs="Times New Roman"/>
        </w:rPr>
        <w:fldChar w:fldCharType="separate"/>
      </w:r>
      <w:r>
        <w:rPr>
          <w:rFonts w:ascii="Times New Roman" w:hAnsi="Times New Roman" w:cs="Times New Roman"/>
          <w:noProof/>
        </w:rPr>
        <w:t>1</w:t>
      </w:r>
      <w:r>
        <w:rPr>
          <w:rFonts w:ascii="Times New Roman" w:hAnsi="Times New Roman" w:cs="Times New Roman"/>
        </w:rPr>
        <w:fldChar w:fldCharType="end"/>
      </w:r>
      <w:r>
        <w:rPr>
          <w:rFonts w:ascii="Times New Roman" w:hAnsi="Times New Roman" w:cs="Times New Roman"/>
        </w:rPr>
        <w:t>: Permanent Virtual Sampling Matrix</w:t>
      </w:r>
      <w:bookmarkEnd w:id="91"/>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1300"/>
        <w:gridCol w:w="1500"/>
        <w:gridCol w:w="1860"/>
        <w:gridCol w:w="3800"/>
      </w:tblGrid>
      <w:tr w:rsidR="00BC1555" w14:paraId="6DB0893E" w14:textId="77777777">
        <w:trPr>
          <w:tblHeader/>
        </w:trPr>
        <w:tc>
          <w:tcPr>
            <w:tcW w:w="900" w:type="dxa"/>
            <w:shd w:val="clear" w:color="auto" w:fill="2E6B5E"/>
            <w:tcMar>
              <w:top w:w="60" w:type="dxa"/>
              <w:left w:w="80" w:type="dxa"/>
              <w:bottom w:w="60" w:type="dxa"/>
              <w:right w:w="80" w:type="dxa"/>
            </w:tcMar>
            <w:vAlign w:val="center"/>
          </w:tcPr>
          <w:p w14:paraId="57FAB88A"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b/>
                <w:color w:val="FFFFFF"/>
                <w:sz w:val="18"/>
              </w:rPr>
              <w:t>Station</w:t>
            </w:r>
          </w:p>
        </w:tc>
        <w:tc>
          <w:tcPr>
            <w:tcW w:w="1300" w:type="dxa"/>
            <w:shd w:val="clear" w:color="auto" w:fill="2E6B5E"/>
            <w:tcMar>
              <w:top w:w="60" w:type="dxa"/>
              <w:left w:w="80" w:type="dxa"/>
              <w:bottom w:w="60" w:type="dxa"/>
              <w:right w:w="80" w:type="dxa"/>
            </w:tcMar>
            <w:vAlign w:val="center"/>
          </w:tcPr>
          <w:p w14:paraId="48867C12"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b/>
                <w:color w:val="FFFFFF"/>
                <w:sz w:val="18"/>
              </w:rPr>
              <w:t>Region</w:t>
            </w:r>
          </w:p>
        </w:tc>
        <w:tc>
          <w:tcPr>
            <w:tcW w:w="1500" w:type="dxa"/>
            <w:shd w:val="clear" w:color="auto" w:fill="2E6B5E"/>
            <w:tcMar>
              <w:top w:w="60" w:type="dxa"/>
              <w:left w:w="80" w:type="dxa"/>
              <w:bottom w:w="60" w:type="dxa"/>
              <w:right w:w="80" w:type="dxa"/>
            </w:tcMar>
            <w:vAlign w:val="center"/>
          </w:tcPr>
          <w:p w14:paraId="6A5294A1"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b/>
                <w:color w:val="FFFFFF"/>
                <w:sz w:val="18"/>
              </w:rPr>
              <w:t>Zone Type</w:t>
            </w:r>
          </w:p>
        </w:tc>
        <w:tc>
          <w:tcPr>
            <w:tcW w:w="1860" w:type="dxa"/>
            <w:shd w:val="clear" w:color="auto" w:fill="2E6B5E"/>
            <w:tcMar>
              <w:top w:w="60" w:type="dxa"/>
              <w:left w:w="80" w:type="dxa"/>
              <w:bottom w:w="60" w:type="dxa"/>
              <w:right w:w="80" w:type="dxa"/>
            </w:tcMar>
            <w:vAlign w:val="center"/>
          </w:tcPr>
          <w:p w14:paraId="7D1CD95F"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b/>
                <w:color w:val="FFFFFF"/>
                <w:sz w:val="18"/>
              </w:rPr>
              <w:t>Coordinates (°E, °N)</w:t>
            </w:r>
          </w:p>
        </w:tc>
        <w:tc>
          <w:tcPr>
            <w:tcW w:w="3800" w:type="dxa"/>
            <w:shd w:val="clear" w:color="auto" w:fill="2E6B5E"/>
            <w:tcMar>
              <w:top w:w="60" w:type="dxa"/>
              <w:left w:w="80" w:type="dxa"/>
              <w:bottom w:w="60" w:type="dxa"/>
              <w:right w:w="80" w:type="dxa"/>
            </w:tcMar>
            <w:vAlign w:val="center"/>
          </w:tcPr>
          <w:p w14:paraId="56CC1F80"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b/>
                <w:color w:val="FFFFFF"/>
                <w:sz w:val="18"/>
              </w:rPr>
              <w:t>Landmark significance</w:t>
            </w:r>
          </w:p>
        </w:tc>
      </w:tr>
      <w:tr w:rsidR="00BC1555" w14:paraId="6C9C68B6" w14:textId="77777777">
        <w:tc>
          <w:tcPr>
            <w:tcW w:w="900" w:type="dxa"/>
            <w:tcMar>
              <w:top w:w="60" w:type="dxa"/>
              <w:left w:w="80" w:type="dxa"/>
              <w:bottom w:w="60" w:type="dxa"/>
              <w:right w:w="80" w:type="dxa"/>
            </w:tcMar>
            <w:vAlign w:val="center"/>
          </w:tcPr>
          <w:p w14:paraId="324A8C50"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N-01</w:t>
            </w:r>
          </w:p>
        </w:tc>
        <w:tc>
          <w:tcPr>
            <w:tcW w:w="1300" w:type="dxa"/>
            <w:tcMar>
              <w:top w:w="60" w:type="dxa"/>
              <w:left w:w="80" w:type="dxa"/>
              <w:bottom w:w="60" w:type="dxa"/>
              <w:right w:w="80" w:type="dxa"/>
            </w:tcMar>
            <w:vAlign w:val="center"/>
          </w:tcPr>
          <w:p w14:paraId="70F59B85"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Northern</w:t>
            </w:r>
          </w:p>
        </w:tc>
        <w:tc>
          <w:tcPr>
            <w:tcW w:w="1500" w:type="dxa"/>
            <w:tcMar>
              <w:top w:w="60" w:type="dxa"/>
              <w:left w:w="80" w:type="dxa"/>
              <w:bottom w:w="60" w:type="dxa"/>
              <w:right w:w="80" w:type="dxa"/>
            </w:tcMar>
            <w:vAlign w:val="center"/>
          </w:tcPr>
          <w:p w14:paraId="195C41F1"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Near Shore</w:t>
            </w:r>
          </w:p>
        </w:tc>
        <w:tc>
          <w:tcPr>
            <w:tcW w:w="1860" w:type="dxa"/>
            <w:tcMar>
              <w:top w:w="60" w:type="dxa"/>
              <w:left w:w="80" w:type="dxa"/>
              <w:bottom w:w="60" w:type="dxa"/>
              <w:right w:w="80" w:type="dxa"/>
            </w:tcMar>
            <w:vAlign w:val="center"/>
          </w:tcPr>
          <w:p w14:paraId="035A8183"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31.8485, 0.3542</w:t>
            </w:r>
          </w:p>
        </w:tc>
        <w:tc>
          <w:tcPr>
            <w:tcW w:w="3800" w:type="dxa"/>
            <w:tcMar>
              <w:top w:w="60" w:type="dxa"/>
              <w:left w:w="80" w:type="dxa"/>
              <w:bottom w:w="60" w:type="dxa"/>
              <w:right w:w="80" w:type="dxa"/>
            </w:tcMar>
            <w:vAlign w:val="center"/>
          </w:tcPr>
          <w:p w14:paraId="42273297"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 xml:space="preserve">Off Naama / </w:t>
            </w:r>
            <w:proofErr w:type="spellStart"/>
            <w:r>
              <w:rPr>
                <w:rFonts w:ascii="Times New Roman" w:hAnsi="Times New Roman" w:cs="Times New Roman"/>
                <w:sz w:val="18"/>
              </w:rPr>
              <w:t>Bufuula</w:t>
            </w:r>
            <w:proofErr w:type="spellEnd"/>
            <w:r>
              <w:rPr>
                <w:rFonts w:ascii="Times New Roman" w:hAnsi="Times New Roman" w:cs="Times New Roman"/>
                <w:sz w:val="18"/>
              </w:rPr>
              <w:t xml:space="preserve"> coast</w:t>
            </w:r>
          </w:p>
        </w:tc>
      </w:tr>
      <w:tr w:rsidR="00BC1555" w14:paraId="49AE9D3B" w14:textId="77777777">
        <w:tc>
          <w:tcPr>
            <w:tcW w:w="900" w:type="dxa"/>
            <w:shd w:val="clear" w:color="auto" w:fill="F2F6F5"/>
            <w:tcMar>
              <w:top w:w="60" w:type="dxa"/>
              <w:left w:w="80" w:type="dxa"/>
              <w:bottom w:w="60" w:type="dxa"/>
              <w:right w:w="80" w:type="dxa"/>
            </w:tcMar>
            <w:vAlign w:val="center"/>
          </w:tcPr>
          <w:p w14:paraId="6A2D4E74"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N-02</w:t>
            </w:r>
          </w:p>
        </w:tc>
        <w:tc>
          <w:tcPr>
            <w:tcW w:w="1300" w:type="dxa"/>
            <w:shd w:val="clear" w:color="auto" w:fill="F2F6F5"/>
            <w:tcMar>
              <w:top w:w="60" w:type="dxa"/>
              <w:left w:w="80" w:type="dxa"/>
              <w:bottom w:w="60" w:type="dxa"/>
              <w:right w:w="80" w:type="dxa"/>
            </w:tcMar>
            <w:vAlign w:val="center"/>
          </w:tcPr>
          <w:p w14:paraId="6727AF59"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Northern</w:t>
            </w:r>
          </w:p>
        </w:tc>
        <w:tc>
          <w:tcPr>
            <w:tcW w:w="1500" w:type="dxa"/>
            <w:shd w:val="clear" w:color="auto" w:fill="F2F6F5"/>
            <w:tcMar>
              <w:top w:w="60" w:type="dxa"/>
              <w:left w:w="80" w:type="dxa"/>
              <w:bottom w:w="60" w:type="dxa"/>
              <w:right w:w="80" w:type="dxa"/>
            </w:tcMar>
            <w:vAlign w:val="center"/>
          </w:tcPr>
          <w:p w14:paraId="787EE928"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Transitional</w:t>
            </w:r>
          </w:p>
        </w:tc>
        <w:tc>
          <w:tcPr>
            <w:tcW w:w="1860" w:type="dxa"/>
            <w:shd w:val="clear" w:color="auto" w:fill="F2F6F5"/>
            <w:tcMar>
              <w:top w:w="60" w:type="dxa"/>
              <w:left w:w="80" w:type="dxa"/>
              <w:bottom w:w="60" w:type="dxa"/>
              <w:right w:w="80" w:type="dxa"/>
            </w:tcMar>
            <w:vAlign w:val="center"/>
          </w:tcPr>
          <w:p w14:paraId="37C39F17"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31.8510, 0.3425</w:t>
            </w:r>
          </w:p>
        </w:tc>
        <w:tc>
          <w:tcPr>
            <w:tcW w:w="3800" w:type="dxa"/>
            <w:shd w:val="clear" w:color="auto" w:fill="F2F6F5"/>
            <w:tcMar>
              <w:top w:w="60" w:type="dxa"/>
              <w:left w:w="80" w:type="dxa"/>
              <w:bottom w:w="60" w:type="dxa"/>
              <w:right w:w="80" w:type="dxa"/>
            </w:tcMar>
            <w:vAlign w:val="center"/>
          </w:tcPr>
          <w:p w14:paraId="66BAFD0F"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North-central sub-pelagic corridor</w:t>
            </w:r>
          </w:p>
        </w:tc>
      </w:tr>
      <w:tr w:rsidR="00BC1555" w14:paraId="0FE510C1" w14:textId="77777777">
        <w:tc>
          <w:tcPr>
            <w:tcW w:w="900" w:type="dxa"/>
            <w:tcMar>
              <w:top w:w="60" w:type="dxa"/>
              <w:left w:w="80" w:type="dxa"/>
              <w:bottom w:w="60" w:type="dxa"/>
              <w:right w:w="80" w:type="dxa"/>
            </w:tcMar>
            <w:vAlign w:val="center"/>
          </w:tcPr>
          <w:p w14:paraId="2AA94B98"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N-03</w:t>
            </w:r>
          </w:p>
        </w:tc>
        <w:tc>
          <w:tcPr>
            <w:tcW w:w="1300" w:type="dxa"/>
            <w:tcMar>
              <w:top w:w="60" w:type="dxa"/>
              <w:left w:w="80" w:type="dxa"/>
              <w:bottom w:w="60" w:type="dxa"/>
              <w:right w:w="80" w:type="dxa"/>
            </w:tcMar>
            <w:vAlign w:val="center"/>
          </w:tcPr>
          <w:p w14:paraId="3BC5C682"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Northern</w:t>
            </w:r>
          </w:p>
        </w:tc>
        <w:tc>
          <w:tcPr>
            <w:tcW w:w="1500" w:type="dxa"/>
            <w:tcMar>
              <w:top w:w="60" w:type="dxa"/>
              <w:left w:w="80" w:type="dxa"/>
              <w:bottom w:w="60" w:type="dxa"/>
              <w:right w:w="80" w:type="dxa"/>
            </w:tcMar>
            <w:vAlign w:val="center"/>
          </w:tcPr>
          <w:p w14:paraId="2D5D3D39"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Open Water</w:t>
            </w:r>
          </w:p>
        </w:tc>
        <w:tc>
          <w:tcPr>
            <w:tcW w:w="1860" w:type="dxa"/>
            <w:tcMar>
              <w:top w:w="60" w:type="dxa"/>
              <w:left w:w="80" w:type="dxa"/>
              <w:bottom w:w="60" w:type="dxa"/>
              <w:right w:w="80" w:type="dxa"/>
            </w:tcMar>
            <w:vAlign w:val="center"/>
          </w:tcPr>
          <w:p w14:paraId="6D027EEF"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31.8550, 0.3280</w:t>
            </w:r>
          </w:p>
        </w:tc>
        <w:tc>
          <w:tcPr>
            <w:tcW w:w="3800" w:type="dxa"/>
            <w:tcMar>
              <w:top w:w="60" w:type="dxa"/>
              <w:left w:w="80" w:type="dxa"/>
              <w:bottom w:w="60" w:type="dxa"/>
              <w:right w:w="80" w:type="dxa"/>
            </w:tcMar>
            <w:vAlign w:val="center"/>
          </w:tcPr>
          <w:p w14:paraId="13CC7EC1"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Northern pelagic core basin</w:t>
            </w:r>
          </w:p>
        </w:tc>
      </w:tr>
      <w:tr w:rsidR="00BC1555" w14:paraId="2E71A66F" w14:textId="77777777">
        <w:tc>
          <w:tcPr>
            <w:tcW w:w="900" w:type="dxa"/>
            <w:shd w:val="clear" w:color="auto" w:fill="F2F6F5"/>
            <w:tcMar>
              <w:top w:w="60" w:type="dxa"/>
              <w:left w:w="80" w:type="dxa"/>
              <w:bottom w:w="60" w:type="dxa"/>
              <w:right w:w="80" w:type="dxa"/>
            </w:tcMar>
            <w:vAlign w:val="center"/>
          </w:tcPr>
          <w:p w14:paraId="2D1527AB"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S-01</w:t>
            </w:r>
          </w:p>
        </w:tc>
        <w:tc>
          <w:tcPr>
            <w:tcW w:w="1300" w:type="dxa"/>
            <w:shd w:val="clear" w:color="auto" w:fill="F2F6F5"/>
            <w:tcMar>
              <w:top w:w="60" w:type="dxa"/>
              <w:left w:w="80" w:type="dxa"/>
              <w:bottom w:w="60" w:type="dxa"/>
              <w:right w:w="80" w:type="dxa"/>
            </w:tcMar>
            <w:vAlign w:val="center"/>
          </w:tcPr>
          <w:p w14:paraId="1F9F8EEF"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Southern</w:t>
            </w:r>
          </w:p>
        </w:tc>
        <w:tc>
          <w:tcPr>
            <w:tcW w:w="1500" w:type="dxa"/>
            <w:shd w:val="clear" w:color="auto" w:fill="F2F6F5"/>
            <w:tcMar>
              <w:top w:w="60" w:type="dxa"/>
              <w:left w:w="80" w:type="dxa"/>
              <w:bottom w:w="60" w:type="dxa"/>
              <w:right w:w="80" w:type="dxa"/>
            </w:tcMar>
            <w:vAlign w:val="center"/>
          </w:tcPr>
          <w:p w14:paraId="473B2910"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Near Shore</w:t>
            </w:r>
          </w:p>
        </w:tc>
        <w:tc>
          <w:tcPr>
            <w:tcW w:w="1860" w:type="dxa"/>
            <w:shd w:val="clear" w:color="auto" w:fill="F2F6F5"/>
            <w:tcMar>
              <w:top w:w="60" w:type="dxa"/>
              <w:left w:w="80" w:type="dxa"/>
              <w:bottom w:w="60" w:type="dxa"/>
              <w:right w:w="80" w:type="dxa"/>
            </w:tcMar>
            <w:vAlign w:val="center"/>
          </w:tcPr>
          <w:p w14:paraId="43A3142B"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31.8310, 0.3015</w:t>
            </w:r>
          </w:p>
        </w:tc>
        <w:tc>
          <w:tcPr>
            <w:tcW w:w="3800" w:type="dxa"/>
            <w:shd w:val="clear" w:color="auto" w:fill="F2F6F5"/>
            <w:tcMar>
              <w:top w:w="60" w:type="dxa"/>
              <w:left w:w="80" w:type="dxa"/>
              <w:bottom w:w="60" w:type="dxa"/>
              <w:right w:w="80" w:type="dxa"/>
            </w:tcMar>
            <w:vAlign w:val="center"/>
          </w:tcPr>
          <w:p w14:paraId="624988CA" w14:textId="77777777" w:rsidR="003F30FB" w:rsidRPr="00352C77" w:rsidRDefault="007B6AAF" w:rsidP="00A623D5">
            <w:pPr>
              <w:spacing w:line="360" w:lineRule="auto"/>
              <w:rPr>
                <w:rFonts w:ascii="Times New Roman" w:hAnsi="Times New Roman" w:cs="Times New Roman"/>
              </w:rPr>
            </w:pPr>
            <w:proofErr w:type="spellStart"/>
            <w:r>
              <w:rPr>
                <w:rFonts w:ascii="Times New Roman" w:hAnsi="Times New Roman" w:cs="Times New Roman"/>
                <w:sz w:val="18"/>
              </w:rPr>
              <w:t>Nkonya</w:t>
            </w:r>
            <w:proofErr w:type="spellEnd"/>
            <w:r>
              <w:rPr>
                <w:rFonts w:ascii="Times New Roman" w:hAnsi="Times New Roman" w:cs="Times New Roman"/>
                <w:sz w:val="18"/>
              </w:rPr>
              <w:t xml:space="preserve"> / Mpongo settlement flank</w:t>
            </w:r>
          </w:p>
        </w:tc>
      </w:tr>
      <w:tr w:rsidR="00BC1555" w14:paraId="0C7C3022" w14:textId="77777777">
        <w:tc>
          <w:tcPr>
            <w:tcW w:w="900" w:type="dxa"/>
            <w:tcMar>
              <w:top w:w="60" w:type="dxa"/>
              <w:left w:w="80" w:type="dxa"/>
              <w:bottom w:w="60" w:type="dxa"/>
              <w:right w:w="80" w:type="dxa"/>
            </w:tcMar>
            <w:vAlign w:val="center"/>
          </w:tcPr>
          <w:p w14:paraId="510F7E41"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S-02</w:t>
            </w:r>
          </w:p>
        </w:tc>
        <w:tc>
          <w:tcPr>
            <w:tcW w:w="1300" w:type="dxa"/>
            <w:tcMar>
              <w:top w:w="60" w:type="dxa"/>
              <w:left w:w="80" w:type="dxa"/>
              <w:bottom w:w="60" w:type="dxa"/>
              <w:right w:w="80" w:type="dxa"/>
            </w:tcMar>
            <w:vAlign w:val="center"/>
          </w:tcPr>
          <w:p w14:paraId="5A6B56DB"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Southern</w:t>
            </w:r>
          </w:p>
        </w:tc>
        <w:tc>
          <w:tcPr>
            <w:tcW w:w="1500" w:type="dxa"/>
            <w:tcMar>
              <w:top w:w="60" w:type="dxa"/>
              <w:left w:w="80" w:type="dxa"/>
              <w:bottom w:w="60" w:type="dxa"/>
              <w:right w:w="80" w:type="dxa"/>
            </w:tcMar>
            <w:vAlign w:val="center"/>
          </w:tcPr>
          <w:p w14:paraId="62F00831"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Transitional</w:t>
            </w:r>
          </w:p>
        </w:tc>
        <w:tc>
          <w:tcPr>
            <w:tcW w:w="1860" w:type="dxa"/>
            <w:tcMar>
              <w:top w:w="60" w:type="dxa"/>
              <w:left w:w="80" w:type="dxa"/>
              <w:bottom w:w="60" w:type="dxa"/>
              <w:right w:w="80" w:type="dxa"/>
            </w:tcMar>
            <w:vAlign w:val="center"/>
          </w:tcPr>
          <w:p w14:paraId="2D772A93"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31.8350, 0.3120</w:t>
            </w:r>
          </w:p>
        </w:tc>
        <w:tc>
          <w:tcPr>
            <w:tcW w:w="3800" w:type="dxa"/>
            <w:tcMar>
              <w:top w:w="60" w:type="dxa"/>
              <w:left w:w="80" w:type="dxa"/>
              <w:bottom w:w="60" w:type="dxa"/>
              <w:right w:w="80" w:type="dxa"/>
            </w:tcMar>
            <w:vAlign w:val="center"/>
          </w:tcPr>
          <w:p w14:paraId="4FA91D06"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South-intermediate floating belt</w:t>
            </w:r>
          </w:p>
        </w:tc>
      </w:tr>
      <w:tr w:rsidR="00BC1555" w14:paraId="634C5373" w14:textId="77777777">
        <w:tc>
          <w:tcPr>
            <w:tcW w:w="900" w:type="dxa"/>
            <w:shd w:val="clear" w:color="auto" w:fill="F2F6F5"/>
            <w:tcMar>
              <w:top w:w="60" w:type="dxa"/>
              <w:left w:w="80" w:type="dxa"/>
              <w:bottom w:w="60" w:type="dxa"/>
              <w:right w:w="80" w:type="dxa"/>
            </w:tcMar>
            <w:vAlign w:val="center"/>
          </w:tcPr>
          <w:p w14:paraId="0113A9A2"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S-03</w:t>
            </w:r>
          </w:p>
        </w:tc>
        <w:tc>
          <w:tcPr>
            <w:tcW w:w="1300" w:type="dxa"/>
            <w:shd w:val="clear" w:color="auto" w:fill="F2F6F5"/>
            <w:tcMar>
              <w:top w:w="60" w:type="dxa"/>
              <w:left w:w="80" w:type="dxa"/>
              <w:bottom w:w="60" w:type="dxa"/>
              <w:right w:w="80" w:type="dxa"/>
            </w:tcMar>
            <w:vAlign w:val="center"/>
          </w:tcPr>
          <w:p w14:paraId="6A5F5AFB"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Southern</w:t>
            </w:r>
          </w:p>
        </w:tc>
        <w:tc>
          <w:tcPr>
            <w:tcW w:w="1500" w:type="dxa"/>
            <w:shd w:val="clear" w:color="auto" w:fill="F2F6F5"/>
            <w:tcMar>
              <w:top w:w="60" w:type="dxa"/>
              <w:left w:w="80" w:type="dxa"/>
              <w:bottom w:w="60" w:type="dxa"/>
              <w:right w:w="80" w:type="dxa"/>
            </w:tcMar>
            <w:vAlign w:val="center"/>
          </w:tcPr>
          <w:p w14:paraId="673232B0"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Open Water</w:t>
            </w:r>
          </w:p>
        </w:tc>
        <w:tc>
          <w:tcPr>
            <w:tcW w:w="1860" w:type="dxa"/>
            <w:shd w:val="clear" w:color="auto" w:fill="F2F6F5"/>
            <w:tcMar>
              <w:top w:w="60" w:type="dxa"/>
              <w:left w:w="80" w:type="dxa"/>
              <w:bottom w:w="60" w:type="dxa"/>
              <w:right w:w="80" w:type="dxa"/>
            </w:tcMar>
            <w:vAlign w:val="center"/>
          </w:tcPr>
          <w:p w14:paraId="0BCF77A3"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31.8400, 0.3225</w:t>
            </w:r>
          </w:p>
        </w:tc>
        <w:tc>
          <w:tcPr>
            <w:tcW w:w="3800" w:type="dxa"/>
            <w:shd w:val="clear" w:color="auto" w:fill="F2F6F5"/>
            <w:tcMar>
              <w:top w:w="60" w:type="dxa"/>
              <w:left w:w="80" w:type="dxa"/>
              <w:bottom w:w="60" w:type="dxa"/>
              <w:right w:w="80" w:type="dxa"/>
            </w:tcMar>
            <w:vAlign w:val="center"/>
          </w:tcPr>
          <w:p w14:paraId="312D58B2"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Southern pelagic basin core</w:t>
            </w:r>
          </w:p>
        </w:tc>
      </w:tr>
      <w:tr w:rsidR="00BC1555" w14:paraId="2E3B3355" w14:textId="77777777">
        <w:tc>
          <w:tcPr>
            <w:tcW w:w="900" w:type="dxa"/>
            <w:tcMar>
              <w:top w:w="60" w:type="dxa"/>
              <w:left w:w="80" w:type="dxa"/>
              <w:bottom w:w="60" w:type="dxa"/>
              <w:right w:w="80" w:type="dxa"/>
            </w:tcMar>
            <w:vAlign w:val="center"/>
          </w:tcPr>
          <w:p w14:paraId="1231AC39"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E-01</w:t>
            </w:r>
          </w:p>
        </w:tc>
        <w:tc>
          <w:tcPr>
            <w:tcW w:w="1300" w:type="dxa"/>
            <w:tcMar>
              <w:top w:w="60" w:type="dxa"/>
              <w:left w:w="80" w:type="dxa"/>
              <w:bottom w:w="60" w:type="dxa"/>
              <w:right w:w="80" w:type="dxa"/>
            </w:tcMar>
            <w:vAlign w:val="center"/>
          </w:tcPr>
          <w:p w14:paraId="16A8C5F3"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Eastern</w:t>
            </w:r>
          </w:p>
        </w:tc>
        <w:tc>
          <w:tcPr>
            <w:tcW w:w="1500" w:type="dxa"/>
            <w:tcMar>
              <w:top w:w="60" w:type="dxa"/>
              <w:left w:w="80" w:type="dxa"/>
              <w:bottom w:w="60" w:type="dxa"/>
              <w:right w:w="80" w:type="dxa"/>
            </w:tcMar>
            <w:vAlign w:val="center"/>
          </w:tcPr>
          <w:p w14:paraId="63BEBA71"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Near Shore</w:t>
            </w:r>
          </w:p>
        </w:tc>
        <w:tc>
          <w:tcPr>
            <w:tcW w:w="1860" w:type="dxa"/>
            <w:tcMar>
              <w:top w:w="60" w:type="dxa"/>
              <w:left w:w="80" w:type="dxa"/>
              <w:bottom w:w="60" w:type="dxa"/>
              <w:right w:w="80" w:type="dxa"/>
            </w:tcMar>
            <w:vAlign w:val="center"/>
          </w:tcPr>
          <w:p w14:paraId="27035F9D"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31.8910, 0.3395</w:t>
            </w:r>
          </w:p>
        </w:tc>
        <w:tc>
          <w:tcPr>
            <w:tcW w:w="3800" w:type="dxa"/>
            <w:tcMar>
              <w:top w:w="60" w:type="dxa"/>
              <w:left w:w="80" w:type="dxa"/>
              <w:bottom w:w="60" w:type="dxa"/>
              <w:right w:w="80" w:type="dxa"/>
            </w:tcMar>
            <w:vAlign w:val="center"/>
          </w:tcPr>
          <w:p w14:paraId="4777C65A" w14:textId="77777777" w:rsidR="003F30FB" w:rsidRPr="00352C77" w:rsidRDefault="007B6AAF" w:rsidP="00A623D5">
            <w:pPr>
              <w:spacing w:line="360" w:lineRule="auto"/>
              <w:rPr>
                <w:rFonts w:ascii="Times New Roman" w:hAnsi="Times New Roman" w:cs="Times New Roman"/>
              </w:rPr>
            </w:pPr>
            <w:proofErr w:type="spellStart"/>
            <w:r>
              <w:rPr>
                <w:rFonts w:ascii="Times New Roman" w:hAnsi="Times New Roman" w:cs="Times New Roman"/>
                <w:sz w:val="18"/>
              </w:rPr>
              <w:t>Kalyankoko</w:t>
            </w:r>
            <w:proofErr w:type="spellEnd"/>
            <w:r>
              <w:rPr>
                <w:rFonts w:ascii="Times New Roman" w:hAnsi="Times New Roman" w:cs="Times New Roman"/>
                <w:sz w:val="18"/>
              </w:rPr>
              <w:t xml:space="preserve"> / </w:t>
            </w:r>
            <w:proofErr w:type="spellStart"/>
            <w:r>
              <w:rPr>
                <w:rFonts w:ascii="Times New Roman" w:hAnsi="Times New Roman" w:cs="Times New Roman"/>
                <w:sz w:val="18"/>
              </w:rPr>
              <w:t>Mityana</w:t>
            </w:r>
            <w:proofErr w:type="spellEnd"/>
            <w:r>
              <w:rPr>
                <w:rFonts w:ascii="Times New Roman" w:hAnsi="Times New Roman" w:cs="Times New Roman"/>
                <w:sz w:val="18"/>
              </w:rPr>
              <w:t xml:space="preserve"> urban runoff coast</w:t>
            </w:r>
          </w:p>
        </w:tc>
      </w:tr>
      <w:tr w:rsidR="00BC1555" w14:paraId="4C10F915" w14:textId="77777777">
        <w:tc>
          <w:tcPr>
            <w:tcW w:w="900" w:type="dxa"/>
            <w:shd w:val="clear" w:color="auto" w:fill="F2F6F5"/>
            <w:tcMar>
              <w:top w:w="60" w:type="dxa"/>
              <w:left w:w="80" w:type="dxa"/>
              <w:bottom w:w="60" w:type="dxa"/>
              <w:right w:w="80" w:type="dxa"/>
            </w:tcMar>
            <w:vAlign w:val="center"/>
          </w:tcPr>
          <w:p w14:paraId="21F3DED4"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E-02</w:t>
            </w:r>
          </w:p>
        </w:tc>
        <w:tc>
          <w:tcPr>
            <w:tcW w:w="1300" w:type="dxa"/>
            <w:shd w:val="clear" w:color="auto" w:fill="F2F6F5"/>
            <w:tcMar>
              <w:top w:w="60" w:type="dxa"/>
              <w:left w:w="80" w:type="dxa"/>
              <w:bottom w:w="60" w:type="dxa"/>
              <w:right w:w="80" w:type="dxa"/>
            </w:tcMar>
            <w:vAlign w:val="center"/>
          </w:tcPr>
          <w:p w14:paraId="23B83F16"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Eastern</w:t>
            </w:r>
          </w:p>
        </w:tc>
        <w:tc>
          <w:tcPr>
            <w:tcW w:w="1500" w:type="dxa"/>
            <w:shd w:val="clear" w:color="auto" w:fill="F2F6F5"/>
            <w:tcMar>
              <w:top w:w="60" w:type="dxa"/>
              <w:left w:w="80" w:type="dxa"/>
              <w:bottom w:w="60" w:type="dxa"/>
              <w:right w:w="80" w:type="dxa"/>
            </w:tcMar>
            <w:vAlign w:val="center"/>
          </w:tcPr>
          <w:p w14:paraId="6E590130"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Transitional</w:t>
            </w:r>
          </w:p>
        </w:tc>
        <w:tc>
          <w:tcPr>
            <w:tcW w:w="1860" w:type="dxa"/>
            <w:shd w:val="clear" w:color="auto" w:fill="F2F6F5"/>
            <w:tcMar>
              <w:top w:w="60" w:type="dxa"/>
              <w:left w:w="80" w:type="dxa"/>
              <w:bottom w:w="60" w:type="dxa"/>
              <w:right w:w="80" w:type="dxa"/>
            </w:tcMar>
            <w:vAlign w:val="center"/>
          </w:tcPr>
          <w:p w14:paraId="678F723D"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31.8790, 0.3340</w:t>
            </w:r>
          </w:p>
        </w:tc>
        <w:tc>
          <w:tcPr>
            <w:tcW w:w="3800" w:type="dxa"/>
            <w:shd w:val="clear" w:color="auto" w:fill="F2F6F5"/>
            <w:tcMar>
              <w:top w:w="60" w:type="dxa"/>
              <w:left w:w="80" w:type="dxa"/>
              <w:bottom w:w="60" w:type="dxa"/>
              <w:right w:w="80" w:type="dxa"/>
            </w:tcMar>
            <w:vAlign w:val="center"/>
          </w:tcPr>
          <w:p w14:paraId="051E8C45"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 xml:space="preserve">Eastern </w:t>
            </w:r>
            <w:proofErr w:type="spellStart"/>
            <w:r>
              <w:rPr>
                <w:rFonts w:ascii="Times New Roman" w:hAnsi="Times New Roman" w:cs="Times New Roman"/>
                <w:sz w:val="18"/>
              </w:rPr>
              <w:t>Lwanju</w:t>
            </w:r>
            <w:proofErr w:type="spellEnd"/>
            <w:r>
              <w:rPr>
                <w:rFonts w:ascii="Times New Roman" w:hAnsi="Times New Roman" w:cs="Times New Roman"/>
                <w:sz w:val="18"/>
              </w:rPr>
              <w:t xml:space="preserve"> island channel</w:t>
            </w:r>
          </w:p>
        </w:tc>
      </w:tr>
      <w:tr w:rsidR="00BC1555" w14:paraId="56F9BC63" w14:textId="77777777">
        <w:tc>
          <w:tcPr>
            <w:tcW w:w="900" w:type="dxa"/>
            <w:tcMar>
              <w:top w:w="60" w:type="dxa"/>
              <w:left w:w="80" w:type="dxa"/>
              <w:bottom w:w="60" w:type="dxa"/>
              <w:right w:w="80" w:type="dxa"/>
            </w:tcMar>
            <w:vAlign w:val="center"/>
          </w:tcPr>
          <w:p w14:paraId="629C67F4"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E-03</w:t>
            </w:r>
          </w:p>
        </w:tc>
        <w:tc>
          <w:tcPr>
            <w:tcW w:w="1300" w:type="dxa"/>
            <w:tcMar>
              <w:top w:w="60" w:type="dxa"/>
              <w:left w:w="80" w:type="dxa"/>
              <w:bottom w:w="60" w:type="dxa"/>
              <w:right w:w="80" w:type="dxa"/>
            </w:tcMar>
            <w:vAlign w:val="center"/>
          </w:tcPr>
          <w:p w14:paraId="254CE5D1"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Eastern</w:t>
            </w:r>
          </w:p>
        </w:tc>
        <w:tc>
          <w:tcPr>
            <w:tcW w:w="1500" w:type="dxa"/>
            <w:tcMar>
              <w:top w:w="60" w:type="dxa"/>
              <w:left w:w="80" w:type="dxa"/>
              <w:bottom w:w="60" w:type="dxa"/>
              <w:right w:w="80" w:type="dxa"/>
            </w:tcMar>
            <w:vAlign w:val="center"/>
          </w:tcPr>
          <w:p w14:paraId="1219452A"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Open Water</w:t>
            </w:r>
          </w:p>
        </w:tc>
        <w:tc>
          <w:tcPr>
            <w:tcW w:w="1860" w:type="dxa"/>
            <w:tcMar>
              <w:top w:w="60" w:type="dxa"/>
              <w:left w:w="80" w:type="dxa"/>
              <w:bottom w:w="60" w:type="dxa"/>
              <w:right w:w="80" w:type="dxa"/>
            </w:tcMar>
            <w:vAlign w:val="center"/>
          </w:tcPr>
          <w:p w14:paraId="6E7F259C"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31.8680, 0.3275</w:t>
            </w:r>
          </w:p>
        </w:tc>
        <w:tc>
          <w:tcPr>
            <w:tcW w:w="3800" w:type="dxa"/>
            <w:tcMar>
              <w:top w:w="60" w:type="dxa"/>
              <w:left w:w="80" w:type="dxa"/>
              <w:bottom w:w="60" w:type="dxa"/>
              <w:right w:w="80" w:type="dxa"/>
            </w:tcMar>
            <w:vAlign w:val="center"/>
          </w:tcPr>
          <w:p w14:paraId="1ED2CB35"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Eastern main pelagic basin</w:t>
            </w:r>
          </w:p>
        </w:tc>
      </w:tr>
      <w:tr w:rsidR="00BC1555" w14:paraId="7F625081" w14:textId="77777777">
        <w:tc>
          <w:tcPr>
            <w:tcW w:w="900" w:type="dxa"/>
            <w:shd w:val="clear" w:color="auto" w:fill="F2F6F5"/>
            <w:tcMar>
              <w:top w:w="60" w:type="dxa"/>
              <w:left w:w="80" w:type="dxa"/>
              <w:bottom w:w="60" w:type="dxa"/>
              <w:right w:w="80" w:type="dxa"/>
            </w:tcMar>
            <w:vAlign w:val="center"/>
          </w:tcPr>
          <w:p w14:paraId="4DF8A538"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W-01</w:t>
            </w:r>
          </w:p>
        </w:tc>
        <w:tc>
          <w:tcPr>
            <w:tcW w:w="1300" w:type="dxa"/>
            <w:shd w:val="clear" w:color="auto" w:fill="F2F6F5"/>
            <w:tcMar>
              <w:top w:w="60" w:type="dxa"/>
              <w:left w:w="80" w:type="dxa"/>
              <w:bottom w:w="60" w:type="dxa"/>
              <w:right w:w="80" w:type="dxa"/>
            </w:tcMar>
            <w:vAlign w:val="center"/>
          </w:tcPr>
          <w:p w14:paraId="56E746B6"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Western</w:t>
            </w:r>
          </w:p>
        </w:tc>
        <w:tc>
          <w:tcPr>
            <w:tcW w:w="1500" w:type="dxa"/>
            <w:shd w:val="clear" w:color="auto" w:fill="F2F6F5"/>
            <w:tcMar>
              <w:top w:w="60" w:type="dxa"/>
              <w:left w:w="80" w:type="dxa"/>
              <w:bottom w:w="60" w:type="dxa"/>
              <w:right w:w="80" w:type="dxa"/>
            </w:tcMar>
            <w:vAlign w:val="center"/>
          </w:tcPr>
          <w:p w14:paraId="01908724"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Near Shore</w:t>
            </w:r>
          </w:p>
        </w:tc>
        <w:tc>
          <w:tcPr>
            <w:tcW w:w="1860" w:type="dxa"/>
            <w:shd w:val="clear" w:color="auto" w:fill="F2F6F5"/>
            <w:tcMar>
              <w:top w:w="60" w:type="dxa"/>
              <w:left w:w="80" w:type="dxa"/>
              <w:bottom w:w="60" w:type="dxa"/>
              <w:right w:w="80" w:type="dxa"/>
            </w:tcMar>
            <w:vAlign w:val="center"/>
          </w:tcPr>
          <w:p w14:paraId="209D2D72"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31.8150, 0.3110</w:t>
            </w:r>
          </w:p>
        </w:tc>
        <w:tc>
          <w:tcPr>
            <w:tcW w:w="3800" w:type="dxa"/>
            <w:shd w:val="clear" w:color="auto" w:fill="F2F6F5"/>
            <w:tcMar>
              <w:top w:w="60" w:type="dxa"/>
              <w:left w:w="80" w:type="dxa"/>
              <w:bottom w:w="60" w:type="dxa"/>
              <w:right w:w="80" w:type="dxa"/>
            </w:tcMar>
            <w:vAlign w:val="center"/>
          </w:tcPr>
          <w:p w14:paraId="48E53F30"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Western open-water boundary margin</w:t>
            </w:r>
          </w:p>
        </w:tc>
      </w:tr>
      <w:tr w:rsidR="00BC1555" w14:paraId="08F56E39" w14:textId="77777777">
        <w:tc>
          <w:tcPr>
            <w:tcW w:w="900" w:type="dxa"/>
            <w:tcMar>
              <w:top w:w="60" w:type="dxa"/>
              <w:left w:w="80" w:type="dxa"/>
              <w:bottom w:w="60" w:type="dxa"/>
              <w:right w:w="80" w:type="dxa"/>
            </w:tcMar>
            <w:vAlign w:val="center"/>
          </w:tcPr>
          <w:p w14:paraId="68227453"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W-02</w:t>
            </w:r>
          </w:p>
        </w:tc>
        <w:tc>
          <w:tcPr>
            <w:tcW w:w="1300" w:type="dxa"/>
            <w:tcMar>
              <w:top w:w="60" w:type="dxa"/>
              <w:left w:w="80" w:type="dxa"/>
              <w:bottom w:w="60" w:type="dxa"/>
              <w:right w:w="80" w:type="dxa"/>
            </w:tcMar>
            <w:vAlign w:val="center"/>
          </w:tcPr>
          <w:p w14:paraId="0CD5727E"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Western</w:t>
            </w:r>
          </w:p>
        </w:tc>
        <w:tc>
          <w:tcPr>
            <w:tcW w:w="1500" w:type="dxa"/>
            <w:tcMar>
              <w:top w:w="60" w:type="dxa"/>
              <w:left w:w="80" w:type="dxa"/>
              <w:bottom w:w="60" w:type="dxa"/>
              <w:right w:w="80" w:type="dxa"/>
            </w:tcMar>
            <w:vAlign w:val="center"/>
          </w:tcPr>
          <w:p w14:paraId="7395F32F"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Transitional</w:t>
            </w:r>
          </w:p>
        </w:tc>
        <w:tc>
          <w:tcPr>
            <w:tcW w:w="1860" w:type="dxa"/>
            <w:tcMar>
              <w:top w:w="60" w:type="dxa"/>
              <w:left w:w="80" w:type="dxa"/>
              <w:bottom w:w="60" w:type="dxa"/>
              <w:right w:w="80" w:type="dxa"/>
            </w:tcMar>
            <w:vAlign w:val="center"/>
          </w:tcPr>
          <w:p w14:paraId="5A9F40BE"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31.8210, 0.3140</w:t>
            </w:r>
          </w:p>
        </w:tc>
        <w:tc>
          <w:tcPr>
            <w:tcW w:w="3800" w:type="dxa"/>
            <w:tcMar>
              <w:top w:w="60" w:type="dxa"/>
              <w:left w:w="80" w:type="dxa"/>
              <w:bottom w:w="60" w:type="dxa"/>
              <w:right w:w="80" w:type="dxa"/>
            </w:tcMar>
            <w:vAlign w:val="center"/>
          </w:tcPr>
          <w:p w14:paraId="2A839DCE"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Western intermediate basin drop-off</w:t>
            </w:r>
          </w:p>
        </w:tc>
      </w:tr>
      <w:tr w:rsidR="00BC1555" w14:paraId="66DFF59F" w14:textId="77777777">
        <w:tc>
          <w:tcPr>
            <w:tcW w:w="900" w:type="dxa"/>
            <w:shd w:val="clear" w:color="auto" w:fill="F2F6F5"/>
            <w:tcMar>
              <w:top w:w="60" w:type="dxa"/>
              <w:left w:w="80" w:type="dxa"/>
              <w:bottom w:w="60" w:type="dxa"/>
              <w:right w:w="80" w:type="dxa"/>
            </w:tcMar>
            <w:vAlign w:val="center"/>
          </w:tcPr>
          <w:p w14:paraId="229B696F"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W-03</w:t>
            </w:r>
          </w:p>
        </w:tc>
        <w:tc>
          <w:tcPr>
            <w:tcW w:w="1300" w:type="dxa"/>
            <w:shd w:val="clear" w:color="auto" w:fill="F2F6F5"/>
            <w:tcMar>
              <w:top w:w="60" w:type="dxa"/>
              <w:left w:w="80" w:type="dxa"/>
              <w:bottom w:w="60" w:type="dxa"/>
              <w:right w:w="80" w:type="dxa"/>
            </w:tcMar>
            <w:vAlign w:val="center"/>
          </w:tcPr>
          <w:p w14:paraId="3F287F85"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Western</w:t>
            </w:r>
          </w:p>
        </w:tc>
        <w:tc>
          <w:tcPr>
            <w:tcW w:w="1500" w:type="dxa"/>
            <w:shd w:val="clear" w:color="auto" w:fill="F2F6F5"/>
            <w:tcMar>
              <w:top w:w="60" w:type="dxa"/>
              <w:left w:w="80" w:type="dxa"/>
              <w:bottom w:w="60" w:type="dxa"/>
              <w:right w:w="80" w:type="dxa"/>
            </w:tcMar>
            <w:vAlign w:val="center"/>
          </w:tcPr>
          <w:p w14:paraId="0FB0F400"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Open Water</w:t>
            </w:r>
          </w:p>
        </w:tc>
        <w:tc>
          <w:tcPr>
            <w:tcW w:w="1860" w:type="dxa"/>
            <w:shd w:val="clear" w:color="auto" w:fill="F2F6F5"/>
            <w:tcMar>
              <w:top w:w="60" w:type="dxa"/>
              <w:left w:w="80" w:type="dxa"/>
              <w:bottom w:w="60" w:type="dxa"/>
              <w:right w:w="80" w:type="dxa"/>
            </w:tcMar>
            <w:vAlign w:val="center"/>
          </w:tcPr>
          <w:p w14:paraId="128D5FF2"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31.8310, 0.3180</w:t>
            </w:r>
          </w:p>
        </w:tc>
        <w:tc>
          <w:tcPr>
            <w:tcW w:w="3800" w:type="dxa"/>
            <w:shd w:val="clear" w:color="auto" w:fill="F2F6F5"/>
            <w:tcMar>
              <w:top w:w="60" w:type="dxa"/>
              <w:left w:w="80" w:type="dxa"/>
              <w:bottom w:w="60" w:type="dxa"/>
              <w:right w:w="80" w:type="dxa"/>
            </w:tcMar>
            <w:vAlign w:val="center"/>
          </w:tcPr>
          <w:p w14:paraId="54A68661"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Western deep core open fetch</w:t>
            </w:r>
          </w:p>
        </w:tc>
      </w:tr>
      <w:tr w:rsidR="00BC1555" w14:paraId="562CE9F4" w14:textId="77777777">
        <w:tc>
          <w:tcPr>
            <w:tcW w:w="900" w:type="dxa"/>
            <w:tcMar>
              <w:top w:w="60" w:type="dxa"/>
              <w:left w:w="80" w:type="dxa"/>
              <w:bottom w:w="60" w:type="dxa"/>
              <w:right w:w="80" w:type="dxa"/>
            </w:tcMar>
            <w:vAlign w:val="center"/>
          </w:tcPr>
          <w:p w14:paraId="6584A7E5"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HS-01</w:t>
            </w:r>
          </w:p>
        </w:tc>
        <w:tc>
          <w:tcPr>
            <w:tcW w:w="1300" w:type="dxa"/>
            <w:tcMar>
              <w:top w:w="60" w:type="dxa"/>
              <w:left w:w="80" w:type="dxa"/>
              <w:bottom w:w="60" w:type="dxa"/>
              <w:right w:w="80" w:type="dxa"/>
            </w:tcMar>
            <w:vAlign w:val="center"/>
          </w:tcPr>
          <w:p w14:paraId="2D29DFFF"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Dynamic</w:t>
            </w:r>
          </w:p>
        </w:tc>
        <w:tc>
          <w:tcPr>
            <w:tcW w:w="1500" w:type="dxa"/>
            <w:tcMar>
              <w:top w:w="60" w:type="dxa"/>
              <w:left w:w="80" w:type="dxa"/>
              <w:bottom w:w="60" w:type="dxa"/>
              <w:right w:w="80" w:type="dxa"/>
            </w:tcMar>
            <w:vAlign w:val="center"/>
          </w:tcPr>
          <w:p w14:paraId="3A831161"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Hotspot</w:t>
            </w:r>
          </w:p>
        </w:tc>
        <w:tc>
          <w:tcPr>
            <w:tcW w:w="1860" w:type="dxa"/>
            <w:tcMar>
              <w:top w:w="60" w:type="dxa"/>
              <w:left w:w="80" w:type="dxa"/>
              <w:bottom w:w="60" w:type="dxa"/>
              <w:right w:w="80" w:type="dxa"/>
            </w:tcMar>
            <w:vAlign w:val="center"/>
          </w:tcPr>
          <w:p w14:paraId="513E849D"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31.8710, 0.3585</w:t>
            </w:r>
          </w:p>
        </w:tc>
        <w:tc>
          <w:tcPr>
            <w:tcW w:w="3800" w:type="dxa"/>
            <w:tcMar>
              <w:top w:w="60" w:type="dxa"/>
              <w:left w:w="80" w:type="dxa"/>
              <w:bottom w:w="60" w:type="dxa"/>
              <w:right w:w="80" w:type="dxa"/>
            </w:tcMar>
            <w:vAlign w:val="center"/>
          </w:tcPr>
          <w:p w14:paraId="667254B9"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 xml:space="preserve">River </w:t>
            </w:r>
            <w:proofErr w:type="spellStart"/>
            <w:r>
              <w:rPr>
                <w:rFonts w:ascii="Times New Roman" w:hAnsi="Times New Roman" w:cs="Times New Roman"/>
                <w:sz w:val="18"/>
              </w:rPr>
              <w:t>Mpamujugu</w:t>
            </w:r>
            <w:proofErr w:type="spellEnd"/>
            <w:r>
              <w:rPr>
                <w:rFonts w:ascii="Times New Roman" w:hAnsi="Times New Roman" w:cs="Times New Roman"/>
                <w:sz w:val="18"/>
              </w:rPr>
              <w:t xml:space="preserve"> eutrophic delta trap</w:t>
            </w:r>
          </w:p>
        </w:tc>
      </w:tr>
      <w:tr w:rsidR="00BC1555" w14:paraId="7E554277" w14:textId="77777777">
        <w:tc>
          <w:tcPr>
            <w:tcW w:w="900" w:type="dxa"/>
            <w:shd w:val="clear" w:color="auto" w:fill="F2F6F5"/>
            <w:tcMar>
              <w:top w:w="60" w:type="dxa"/>
              <w:left w:w="80" w:type="dxa"/>
              <w:bottom w:w="60" w:type="dxa"/>
              <w:right w:w="80" w:type="dxa"/>
            </w:tcMar>
            <w:vAlign w:val="center"/>
          </w:tcPr>
          <w:p w14:paraId="04D5BCF9"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NW-01</w:t>
            </w:r>
          </w:p>
        </w:tc>
        <w:tc>
          <w:tcPr>
            <w:tcW w:w="1300" w:type="dxa"/>
            <w:shd w:val="clear" w:color="auto" w:fill="F2F6F5"/>
            <w:tcMar>
              <w:top w:w="60" w:type="dxa"/>
              <w:left w:w="80" w:type="dxa"/>
              <w:bottom w:w="60" w:type="dxa"/>
              <w:right w:w="80" w:type="dxa"/>
            </w:tcMar>
            <w:vAlign w:val="center"/>
          </w:tcPr>
          <w:p w14:paraId="16BF4393"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Dynamic</w:t>
            </w:r>
          </w:p>
        </w:tc>
        <w:tc>
          <w:tcPr>
            <w:tcW w:w="1500" w:type="dxa"/>
            <w:shd w:val="clear" w:color="auto" w:fill="F2F6F5"/>
            <w:tcMar>
              <w:top w:w="60" w:type="dxa"/>
              <w:left w:w="80" w:type="dxa"/>
              <w:bottom w:w="60" w:type="dxa"/>
              <w:right w:w="80" w:type="dxa"/>
            </w:tcMar>
            <w:vAlign w:val="center"/>
          </w:tcPr>
          <w:p w14:paraId="42900AD6"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Control</w:t>
            </w:r>
          </w:p>
        </w:tc>
        <w:tc>
          <w:tcPr>
            <w:tcW w:w="1860" w:type="dxa"/>
            <w:shd w:val="clear" w:color="auto" w:fill="F2F6F5"/>
            <w:tcMar>
              <w:top w:w="60" w:type="dxa"/>
              <w:left w:w="80" w:type="dxa"/>
              <w:bottom w:w="60" w:type="dxa"/>
              <w:right w:w="80" w:type="dxa"/>
            </w:tcMar>
            <w:vAlign w:val="center"/>
          </w:tcPr>
          <w:p w14:paraId="2AFC8292"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31.8480, 0.3295</w:t>
            </w:r>
          </w:p>
        </w:tc>
        <w:tc>
          <w:tcPr>
            <w:tcW w:w="3800" w:type="dxa"/>
            <w:shd w:val="clear" w:color="auto" w:fill="F2F6F5"/>
            <w:tcMar>
              <w:top w:w="60" w:type="dxa"/>
              <w:left w:w="80" w:type="dxa"/>
              <w:bottom w:w="60" w:type="dxa"/>
              <w:right w:w="80" w:type="dxa"/>
            </w:tcMar>
            <w:vAlign w:val="center"/>
          </w:tcPr>
          <w:p w14:paraId="3429D1D0"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Maximum-depth clear-water core</w:t>
            </w:r>
          </w:p>
        </w:tc>
      </w:tr>
      <w:tr w:rsidR="00BC1555" w14:paraId="6BCD0DB9" w14:textId="77777777">
        <w:tc>
          <w:tcPr>
            <w:tcW w:w="900" w:type="dxa"/>
            <w:tcMar>
              <w:top w:w="60" w:type="dxa"/>
              <w:left w:w="80" w:type="dxa"/>
              <w:bottom w:w="60" w:type="dxa"/>
              <w:right w:w="80" w:type="dxa"/>
            </w:tcMar>
            <w:vAlign w:val="center"/>
          </w:tcPr>
          <w:p w14:paraId="44B559B4"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HV-01</w:t>
            </w:r>
          </w:p>
        </w:tc>
        <w:tc>
          <w:tcPr>
            <w:tcW w:w="1300" w:type="dxa"/>
            <w:tcMar>
              <w:top w:w="60" w:type="dxa"/>
              <w:left w:w="80" w:type="dxa"/>
              <w:bottom w:w="60" w:type="dxa"/>
              <w:right w:w="80" w:type="dxa"/>
            </w:tcMar>
            <w:vAlign w:val="center"/>
          </w:tcPr>
          <w:p w14:paraId="7C3F2D19"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Dynamic</w:t>
            </w:r>
          </w:p>
        </w:tc>
        <w:tc>
          <w:tcPr>
            <w:tcW w:w="1500" w:type="dxa"/>
            <w:tcMar>
              <w:top w:w="60" w:type="dxa"/>
              <w:left w:w="80" w:type="dxa"/>
              <w:bottom w:w="60" w:type="dxa"/>
              <w:right w:w="80" w:type="dxa"/>
            </w:tcMar>
            <w:vAlign w:val="center"/>
          </w:tcPr>
          <w:p w14:paraId="1EB208B4"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Sudd Corridor</w:t>
            </w:r>
          </w:p>
        </w:tc>
        <w:tc>
          <w:tcPr>
            <w:tcW w:w="1860" w:type="dxa"/>
            <w:tcMar>
              <w:top w:w="60" w:type="dxa"/>
              <w:left w:w="80" w:type="dxa"/>
              <w:bottom w:w="60" w:type="dxa"/>
              <w:right w:w="80" w:type="dxa"/>
            </w:tcMar>
            <w:vAlign w:val="center"/>
          </w:tcPr>
          <w:p w14:paraId="2F04952B"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31.8150, 0.3110</w:t>
            </w:r>
          </w:p>
        </w:tc>
        <w:tc>
          <w:tcPr>
            <w:tcW w:w="3800" w:type="dxa"/>
            <w:tcMar>
              <w:top w:w="60" w:type="dxa"/>
              <w:left w:w="80" w:type="dxa"/>
              <w:bottom w:w="60" w:type="dxa"/>
              <w:right w:w="80" w:type="dxa"/>
            </w:tcMar>
            <w:vAlign w:val="center"/>
          </w:tcPr>
          <w:p w14:paraId="5DDB59CD"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 xml:space="preserve">Mabo / </w:t>
            </w:r>
            <w:proofErr w:type="spellStart"/>
            <w:r>
              <w:rPr>
                <w:rFonts w:ascii="Times New Roman" w:hAnsi="Times New Roman" w:cs="Times New Roman"/>
                <w:sz w:val="18"/>
              </w:rPr>
              <w:t>Bagwe</w:t>
            </w:r>
            <w:proofErr w:type="spellEnd"/>
            <w:r>
              <w:rPr>
                <w:rFonts w:ascii="Times New Roman" w:hAnsi="Times New Roman" w:cs="Times New Roman"/>
                <w:sz w:val="18"/>
              </w:rPr>
              <w:t xml:space="preserve"> floating migration channel</w:t>
            </w:r>
          </w:p>
        </w:tc>
      </w:tr>
      <w:tr w:rsidR="00BC1555" w14:paraId="38DFD28D" w14:textId="77777777">
        <w:tc>
          <w:tcPr>
            <w:tcW w:w="900" w:type="dxa"/>
            <w:shd w:val="clear" w:color="auto" w:fill="F2F6F5"/>
            <w:tcMar>
              <w:top w:w="60" w:type="dxa"/>
              <w:left w:w="80" w:type="dxa"/>
              <w:bottom w:w="60" w:type="dxa"/>
              <w:right w:w="80" w:type="dxa"/>
            </w:tcMar>
            <w:vAlign w:val="center"/>
          </w:tcPr>
          <w:p w14:paraId="7DBCD4BE"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HV-02</w:t>
            </w:r>
          </w:p>
        </w:tc>
        <w:tc>
          <w:tcPr>
            <w:tcW w:w="1300" w:type="dxa"/>
            <w:shd w:val="clear" w:color="auto" w:fill="F2F6F5"/>
            <w:tcMar>
              <w:top w:w="60" w:type="dxa"/>
              <w:left w:w="80" w:type="dxa"/>
              <w:bottom w:w="60" w:type="dxa"/>
              <w:right w:w="80" w:type="dxa"/>
            </w:tcMar>
            <w:vAlign w:val="center"/>
          </w:tcPr>
          <w:p w14:paraId="503A876A"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Dynamic</w:t>
            </w:r>
          </w:p>
        </w:tc>
        <w:tc>
          <w:tcPr>
            <w:tcW w:w="1500" w:type="dxa"/>
            <w:shd w:val="clear" w:color="auto" w:fill="F2F6F5"/>
            <w:tcMar>
              <w:top w:w="60" w:type="dxa"/>
              <w:left w:w="80" w:type="dxa"/>
              <w:bottom w:w="60" w:type="dxa"/>
              <w:right w:w="80" w:type="dxa"/>
            </w:tcMar>
            <w:vAlign w:val="center"/>
          </w:tcPr>
          <w:p w14:paraId="7069DA3A"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River Outlet</w:t>
            </w:r>
          </w:p>
        </w:tc>
        <w:tc>
          <w:tcPr>
            <w:tcW w:w="1860" w:type="dxa"/>
            <w:shd w:val="clear" w:color="auto" w:fill="F2F6F5"/>
            <w:tcMar>
              <w:top w:w="60" w:type="dxa"/>
              <w:left w:w="80" w:type="dxa"/>
              <w:bottom w:w="60" w:type="dxa"/>
              <w:right w:w="80" w:type="dxa"/>
            </w:tcMar>
            <w:vAlign w:val="center"/>
          </w:tcPr>
          <w:p w14:paraId="27E5D26A"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31.8215, 0.2945</w:t>
            </w:r>
          </w:p>
        </w:tc>
        <w:tc>
          <w:tcPr>
            <w:tcW w:w="3800" w:type="dxa"/>
            <w:shd w:val="clear" w:color="auto" w:fill="F2F6F5"/>
            <w:tcMar>
              <w:top w:w="60" w:type="dxa"/>
              <w:left w:w="80" w:type="dxa"/>
              <w:bottom w:w="60" w:type="dxa"/>
              <w:right w:w="80" w:type="dxa"/>
            </w:tcMar>
            <w:vAlign w:val="center"/>
          </w:tcPr>
          <w:p w14:paraId="36C6035A" w14:textId="77777777" w:rsidR="003F30FB" w:rsidRPr="00352C77" w:rsidRDefault="007B6AAF" w:rsidP="00A623D5">
            <w:pPr>
              <w:spacing w:line="360" w:lineRule="auto"/>
              <w:rPr>
                <w:rFonts w:ascii="Times New Roman" w:hAnsi="Times New Roman" w:cs="Times New Roman"/>
              </w:rPr>
            </w:pPr>
            <w:proofErr w:type="spellStart"/>
            <w:r>
              <w:rPr>
                <w:rFonts w:ascii="Times New Roman" w:hAnsi="Times New Roman" w:cs="Times New Roman"/>
                <w:sz w:val="18"/>
              </w:rPr>
              <w:t>Kibimba</w:t>
            </w:r>
            <w:proofErr w:type="spellEnd"/>
            <w:r>
              <w:rPr>
                <w:rFonts w:ascii="Times New Roman" w:hAnsi="Times New Roman" w:cs="Times New Roman"/>
                <w:sz w:val="18"/>
              </w:rPr>
              <w:t xml:space="preserve"> seasonal river inflow flank</w:t>
            </w:r>
          </w:p>
        </w:tc>
      </w:tr>
    </w:tbl>
    <w:p w14:paraId="4865B220" w14:textId="77777777" w:rsidR="003F30FB" w:rsidRPr="00352C77" w:rsidRDefault="003F30FB" w:rsidP="00A623D5">
      <w:pPr>
        <w:spacing w:after="120" w:line="360" w:lineRule="auto"/>
        <w:rPr>
          <w:rFonts w:ascii="Times New Roman" w:hAnsi="Times New Roman" w:cs="Times New Roman"/>
        </w:rPr>
      </w:pPr>
    </w:p>
    <w:p w14:paraId="006F5B3B" w14:textId="77777777" w:rsidR="006369DB" w:rsidRPr="00352C77" w:rsidRDefault="006369DB" w:rsidP="00A623D5">
      <w:pPr>
        <w:keepNext/>
        <w:spacing w:after="120" w:line="360" w:lineRule="auto"/>
        <w:rPr>
          <w:rFonts w:ascii="Times New Roman" w:hAnsi="Times New Roman" w:cs="Times New Roman"/>
        </w:rPr>
      </w:pPr>
      <w:r>
        <w:rPr>
          <w:rFonts w:ascii="Times New Roman" w:hAnsi="Times New Roman" w:cs="Times New Roman"/>
          <w:noProof/>
        </w:rPr>
        <w:lastRenderedPageBreak/>
        <w:drawing>
          <wp:inline distT="0" distB="0" distL="0" distR="0" wp14:anchorId="3F129306" wp14:editId="469F303C">
            <wp:extent cx="5784850" cy="3545694"/>
            <wp:effectExtent l="0" t="0" r="6350" b="0"/>
            <wp:docPr id="1365934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032934" name=""/>
                    <pic:cNvPicPr/>
                  </pic:nvPicPr>
                  <pic:blipFill>
                    <a:blip r:embed="rId13"/>
                    <a:stretch>
                      <a:fillRect/>
                    </a:stretch>
                  </pic:blipFill>
                  <pic:spPr>
                    <a:xfrm>
                      <a:off x="0" y="0"/>
                      <a:ext cx="5869443" cy="3597543"/>
                    </a:xfrm>
                    <a:prstGeom prst="rect">
                      <a:avLst/>
                    </a:prstGeom>
                  </pic:spPr>
                </pic:pic>
              </a:graphicData>
            </a:graphic>
          </wp:inline>
        </w:drawing>
      </w:r>
    </w:p>
    <w:p w14:paraId="4B0BA599" w14:textId="22802413" w:rsidR="006369DB" w:rsidRPr="00352C77" w:rsidRDefault="006369DB" w:rsidP="00A623D5">
      <w:pPr>
        <w:pStyle w:val="Caption"/>
        <w:spacing w:line="360" w:lineRule="auto"/>
        <w:rPr>
          <w:rFonts w:ascii="Times New Roman" w:hAnsi="Times New Roman" w:cs="Times New Roman"/>
        </w:rPr>
      </w:pPr>
      <w:bookmarkStart w:id="92" w:name="_Toc237884364"/>
      <w:r>
        <w:rPr>
          <w:rFonts w:ascii="Times New Roman" w:hAnsi="Times New Roman" w:cs="Times New Roman"/>
        </w:rPr>
        <w:t xml:space="preserve">Figure </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402E51">
        <w:rPr>
          <w:rFonts w:ascii="Times New Roman" w:hAnsi="Times New Roman" w:cs="Times New Roman"/>
          <w:noProof/>
        </w:rPr>
        <w:t>3</w:t>
      </w:r>
      <w:r>
        <w:rPr>
          <w:rFonts w:ascii="Times New Roman" w:hAnsi="Times New Roman" w:cs="Times New Roman"/>
          <w:noProof/>
        </w:rPr>
        <w:fldChar w:fldCharType="end"/>
      </w:r>
      <w:r>
        <w:rPr>
          <w:rFonts w:ascii="Times New Roman" w:hAnsi="Times New Roman" w:cs="Times New Roman"/>
        </w:rPr>
        <w:t>: Sampling points of Lake Wamala</w:t>
      </w:r>
      <w:bookmarkEnd w:id="92"/>
    </w:p>
    <w:p w14:paraId="18DCBD25" w14:textId="77777777" w:rsidR="003F30FB" w:rsidRPr="00352C77" w:rsidRDefault="007B6AAF" w:rsidP="00A623D5">
      <w:pPr>
        <w:pStyle w:val="Heading2"/>
        <w:spacing w:line="360" w:lineRule="auto"/>
        <w:rPr>
          <w:rFonts w:ascii="Times New Roman" w:hAnsi="Times New Roman" w:cs="Times New Roman"/>
        </w:rPr>
      </w:pPr>
      <w:bookmarkStart w:id="93" w:name="_Toc237884311"/>
      <w:r>
        <w:rPr>
          <w:rFonts w:ascii="Times New Roman" w:hAnsi="Times New Roman" w:cs="Times New Roman"/>
        </w:rPr>
        <w:t>3.6 Computation of Spectral Indices</w:t>
      </w:r>
      <w:bookmarkEnd w:id="93"/>
    </w:p>
    <w:p w14:paraId="6750FC38" w14:textId="77777777" w:rsidR="003F30FB"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For each sampled pixel, two normalised-difference indices were computed from the surface-reflectance bands. NDVI was calculated as the normalised difference between the near-infrared and red reflectance, that is</w:t>
      </w:r>
      <m:oMath>
        <m:r>
          <w:rPr>
            <w:rFonts w:ascii="Cambria Math" w:hAnsi="Cambria Math" w:cs="Times New Roman"/>
          </w:rPr>
          <m:t xml:space="preserve"> NDVI=</m:t>
        </m:r>
        <m:f>
          <m:fPr>
            <m:ctrlPr>
              <w:rPr>
                <w:rFonts w:ascii="Cambria Math" w:hAnsi="Cambria Math" w:cs="Times New Roman"/>
                <w:i/>
              </w:rPr>
            </m:ctrlPr>
          </m:fPr>
          <m:num>
            <m:r>
              <w:rPr>
                <w:rFonts w:ascii="Cambria Math" w:hAnsi="Cambria Math" w:cs="Times New Roman"/>
              </w:rPr>
              <m:t>Band 8-Band 4</m:t>
            </m:r>
          </m:num>
          <m:den>
            <m:r>
              <m:rPr>
                <m:sty m:val="p"/>
              </m:rPr>
              <w:rPr>
                <w:rFonts w:ascii="Cambria Math" w:hAnsi="Cambria Math" w:cs="Times New Roman"/>
              </w:rPr>
              <m:t xml:space="preserve"> (Band 8 + Band 4)</m:t>
            </m:r>
          </m:den>
        </m:f>
      </m:oMath>
      <w:r>
        <w:rPr>
          <w:rFonts w:ascii="Times New Roman" w:hAnsi="Times New Roman" w:cs="Times New Roman"/>
        </w:rPr>
        <w:t xml:space="preserve">, and serves as a measure of vegetation density: positive values indicate vegetation, values near zero indicate mixed or bare surfaces, and negative values indicate open water. NDWI was calculated as the normalised difference between the green and near-infrared reflectance, that is </w:t>
      </w:r>
      <m:oMath>
        <m:r>
          <w:rPr>
            <w:rFonts w:ascii="Cambria Math" w:hAnsi="Cambria Math" w:cs="Times New Roman"/>
          </w:rPr>
          <m:t>NDWI=</m:t>
        </m:r>
        <m:f>
          <m:fPr>
            <m:ctrlPr>
              <w:rPr>
                <w:rFonts w:ascii="Cambria Math" w:hAnsi="Cambria Math" w:cs="Times New Roman"/>
                <w:i/>
              </w:rPr>
            </m:ctrlPr>
          </m:fPr>
          <m:num>
            <m:r>
              <w:rPr>
                <w:rFonts w:ascii="Cambria Math" w:hAnsi="Cambria Math" w:cs="Times New Roman"/>
              </w:rPr>
              <m:t>Band 3-Band 8</m:t>
            </m:r>
          </m:num>
          <m:den>
            <m:r>
              <m:rPr>
                <m:sty m:val="p"/>
              </m:rPr>
              <w:rPr>
                <w:rFonts w:ascii="Cambria Math" w:hAnsi="Cambria Math" w:cs="Times New Roman"/>
              </w:rPr>
              <m:t>(Band 3 + Band 8)</m:t>
            </m:r>
          </m:den>
        </m:f>
      </m:oMath>
      <w:r>
        <w:rPr>
          <w:rFonts w:ascii="Times New Roman" w:hAnsi="Times New Roman" w:cs="Times New Roman"/>
        </w:rPr>
        <w:t>, and enhances open-water features while suppressing vegetation. Both indices are bounded between −1 and +1. Index values were calculated for every sampled pixel in each monthly composite and attributed to the appropriate station, region, zone type, year and month.</w:t>
      </w:r>
    </w:p>
    <w:p w14:paraId="28E8F0FF" w14:textId="77777777" w:rsidR="003F30FB" w:rsidRPr="00352C77" w:rsidRDefault="007B6AAF" w:rsidP="00A623D5">
      <w:pPr>
        <w:pStyle w:val="Heading2"/>
        <w:spacing w:line="360" w:lineRule="auto"/>
        <w:rPr>
          <w:rFonts w:ascii="Times New Roman" w:hAnsi="Times New Roman" w:cs="Times New Roman"/>
        </w:rPr>
      </w:pPr>
      <w:bookmarkStart w:id="94" w:name="_Toc237884312"/>
      <w:r>
        <w:rPr>
          <w:rFonts w:ascii="Times New Roman" w:hAnsi="Times New Roman" w:cs="Times New Roman"/>
        </w:rPr>
        <w:t>3.7 Weed-Cover Classification</w:t>
      </w:r>
      <w:bookmarkEnd w:id="94"/>
    </w:p>
    <w:p w14:paraId="0B723BC2" w14:textId="77777777" w:rsidR="003F30FB"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To translate the continuous NDVI values into interpretable cover categories, pixels were classified into three vegetation-cover classes on the basis of established NDVI thresholds: Low or No Vegetation (open water) for NDVI below 0.1; Moderate Vegetation for NDVI between 0.1 and </w:t>
      </w:r>
      <w:r>
        <w:rPr>
          <w:rFonts w:ascii="Times New Roman" w:hAnsi="Times New Roman" w:cs="Times New Roman"/>
        </w:rPr>
        <w:lastRenderedPageBreak/>
        <w:t>0.3; and High Vegetation (dense weeds) for NDVI above 0.3. The proportion of pixels in each class was computed overall and disaggregated by region and zone type to identify infestation hotspots. Because these thresholds were not calibrated against simultaneous field measurements, they are treated as an operational rather than an absolute classification, a point returned to in Section 3.10.</w:t>
      </w:r>
    </w:p>
    <w:p w14:paraId="386B4224" w14:textId="77777777" w:rsidR="003F30FB" w:rsidRPr="00352C77" w:rsidRDefault="007B6AAF" w:rsidP="00A623D5">
      <w:pPr>
        <w:pStyle w:val="Heading2"/>
        <w:spacing w:line="360" w:lineRule="auto"/>
        <w:rPr>
          <w:rFonts w:ascii="Times New Roman" w:hAnsi="Times New Roman" w:cs="Times New Roman"/>
        </w:rPr>
      </w:pPr>
      <w:bookmarkStart w:id="95" w:name="_Toc237884313"/>
      <w:r>
        <w:rPr>
          <w:rFonts w:ascii="Times New Roman" w:hAnsi="Times New Roman" w:cs="Times New Roman"/>
        </w:rPr>
        <w:t>3.8 Study Variables and Measurement</w:t>
      </w:r>
      <w:bookmarkEnd w:id="95"/>
    </w:p>
    <w:p w14:paraId="05D52F8E" w14:textId="77777777" w:rsidR="003F30FB"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Following good statistical-reporting practice, the study variables are defined explicitly before the analysis is described. Two continuous dependent variables (NDVI and NDWI) were analysed against four categorical independent variables (region, zone type, year and month), with the pixel as the unit of observation. Table 2 summarises the variables and their levels of measurement.</w:t>
      </w:r>
    </w:p>
    <w:p w14:paraId="5E8E1135" w14:textId="77777777" w:rsidR="00FF2CA1" w:rsidRPr="00352C77" w:rsidRDefault="00FF2CA1" w:rsidP="00A623D5">
      <w:pPr>
        <w:pStyle w:val="Caption"/>
        <w:keepNext/>
        <w:rPr>
          <w:rFonts w:ascii="Times New Roman" w:hAnsi="Times New Roman" w:cs="Times New Roman"/>
        </w:rPr>
      </w:pPr>
      <w:bookmarkStart w:id="96" w:name="_Toc237884350"/>
      <w:r>
        <w:rPr>
          <w:rFonts w:ascii="Times New Roman" w:hAnsi="Times New Roman" w:cs="Times New Roman"/>
        </w:rPr>
        <w:t xml:space="preserve">Table </w:t>
      </w:r>
      <w:r>
        <w:rPr>
          <w:rFonts w:ascii="Times New Roman" w:hAnsi="Times New Roman" w:cs="Times New Roman"/>
        </w:rPr>
        <w:fldChar w:fldCharType="begin"/>
      </w:r>
      <w:r>
        <w:rPr>
          <w:rFonts w:ascii="Times New Roman" w:hAnsi="Times New Roman" w:cs="Times New Roman"/>
        </w:rPr>
        <w:instrText xml:space="preserve"> SEQ Table \* ARABIC </w:instrText>
      </w:r>
      <w:r>
        <w:rPr>
          <w:rFonts w:ascii="Times New Roman" w:hAnsi="Times New Roman" w:cs="Times New Roman"/>
        </w:rPr>
        <w:fldChar w:fldCharType="separate"/>
      </w:r>
      <w:r>
        <w:rPr>
          <w:rFonts w:ascii="Times New Roman" w:hAnsi="Times New Roman" w:cs="Times New Roman"/>
          <w:noProof/>
        </w:rPr>
        <w:t>2</w:t>
      </w:r>
      <w:r>
        <w:rPr>
          <w:rFonts w:ascii="Times New Roman" w:hAnsi="Times New Roman" w:cs="Times New Roman"/>
        </w:rPr>
        <w:fldChar w:fldCharType="end"/>
      </w:r>
      <w:r>
        <w:rPr>
          <w:rFonts w:ascii="Times New Roman" w:hAnsi="Times New Roman" w:cs="Times New Roman"/>
        </w:rPr>
        <w:t>: Study Variables and Their Levels of Measurement</w:t>
      </w:r>
      <w:bookmarkEnd w:id="96"/>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0"/>
        <w:gridCol w:w="1700"/>
        <w:gridCol w:w="2560"/>
        <w:gridCol w:w="3600"/>
      </w:tblGrid>
      <w:tr w:rsidR="00BC1555" w14:paraId="15836795" w14:textId="77777777">
        <w:trPr>
          <w:tblHeader/>
        </w:trPr>
        <w:tc>
          <w:tcPr>
            <w:tcW w:w="1500" w:type="dxa"/>
            <w:shd w:val="clear" w:color="auto" w:fill="2E6B5E"/>
            <w:tcMar>
              <w:top w:w="60" w:type="dxa"/>
              <w:left w:w="80" w:type="dxa"/>
              <w:bottom w:w="60" w:type="dxa"/>
              <w:right w:w="80" w:type="dxa"/>
            </w:tcMar>
            <w:vAlign w:val="center"/>
          </w:tcPr>
          <w:p w14:paraId="0B37080E"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b/>
                <w:color w:val="FFFFFF"/>
                <w:sz w:val="18"/>
              </w:rPr>
              <w:t>Variable</w:t>
            </w:r>
          </w:p>
        </w:tc>
        <w:tc>
          <w:tcPr>
            <w:tcW w:w="1700" w:type="dxa"/>
            <w:shd w:val="clear" w:color="auto" w:fill="2E6B5E"/>
            <w:tcMar>
              <w:top w:w="60" w:type="dxa"/>
              <w:left w:w="80" w:type="dxa"/>
              <w:bottom w:w="60" w:type="dxa"/>
              <w:right w:w="80" w:type="dxa"/>
            </w:tcMar>
            <w:vAlign w:val="center"/>
          </w:tcPr>
          <w:p w14:paraId="593CC6D8"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b/>
                <w:color w:val="FFFFFF"/>
                <w:sz w:val="18"/>
              </w:rPr>
              <w:t>Role</w:t>
            </w:r>
          </w:p>
        </w:tc>
        <w:tc>
          <w:tcPr>
            <w:tcW w:w="2560" w:type="dxa"/>
            <w:shd w:val="clear" w:color="auto" w:fill="2E6B5E"/>
            <w:tcMar>
              <w:top w:w="60" w:type="dxa"/>
              <w:left w:w="80" w:type="dxa"/>
              <w:bottom w:w="60" w:type="dxa"/>
              <w:right w:w="80" w:type="dxa"/>
            </w:tcMar>
            <w:vAlign w:val="center"/>
          </w:tcPr>
          <w:p w14:paraId="0BA52A6F"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b/>
                <w:color w:val="FFFFFF"/>
                <w:sz w:val="18"/>
              </w:rPr>
              <w:t>Level of measurement</w:t>
            </w:r>
          </w:p>
        </w:tc>
        <w:tc>
          <w:tcPr>
            <w:tcW w:w="3600" w:type="dxa"/>
            <w:shd w:val="clear" w:color="auto" w:fill="2E6B5E"/>
            <w:tcMar>
              <w:top w:w="60" w:type="dxa"/>
              <w:left w:w="80" w:type="dxa"/>
              <w:bottom w:w="60" w:type="dxa"/>
              <w:right w:w="80" w:type="dxa"/>
            </w:tcMar>
            <w:vAlign w:val="center"/>
          </w:tcPr>
          <w:p w14:paraId="5A598F42"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b/>
                <w:color w:val="FFFFFF"/>
                <w:sz w:val="18"/>
              </w:rPr>
              <w:t>Description</w:t>
            </w:r>
          </w:p>
        </w:tc>
      </w:tr>
      <w:tr w:rsidR="00BC1555" w14:paraId="6B7D2633" w14:textId="77777777">
        <w:tc>
          <w:tcPr>
            <w:tcW w:w="1500" w:type="dxa"/>
            <w:tcMar>
              <w:top w:w="60" w:type="dxa"/>
              <w:left w:w="80" w:type="dxa"/>
              <w:bottom w:w="60" w:type="dxa"/>
              <w:right w:w="80" w:type="dxa"/>
            </w:tcMar>
            <w:vAlign w:val="center"/>
          </w:tcPr>
          <w:p w14:paraId="12D6EE4C"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NDVI</w:t>
            </w:r>
          </w:p>
        </w:tc>
        <w:tc>
          <w:tcPr>
            <w:tcW w:w="1700" w:type="dxa"/>
            <w:tcMar>
              <w:top w:w="60" w:type="dxa"/>
              <w:left w:w="80" w:type="dxa"/>
              <w:bottom w:w="60" w:type="dxa"/>
              <w:right w:w="80" w:type="dxa"/>
            </w:tcMar>
            <w:vAlign w:val="center"/>
          </w:tcPr>
          <w:p w14:paraId="5A80A37D"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Dependent</w:t>
            </w:r>
          </w:p>
        </w:tc>
        <w:tc>
          <w:tcPr>
            <w:tcW w:w="2560" w:type="dxa"/>
            <w:tcMar>
              <w:top w:w="60" w:type="dxa"/>
              <w:left w:w="80" w:type="dxa"/>
              <w:bottom w:w="60" w:type="dxa"/>
              <w:right w:w="80" w:type="dxa"/>
            </w:tcMar>
            <w:vAlign w:val="center"/>
          </w:tcPr>
          <w:p w14:paraId="140CD000"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Continuous (ratio, −1 to +1)</w:t>
            </w:r>
          </w:p>
        </w:tc>
        <w:tc>
          <w:tcPr>
            <w:tcW w:w="3600" w:type="dxa"/>
            <w:tcMar>
              <w:top w:w="60" w:type="dxa"/>
              <w:left w:w="80" w:type="dxa"/>
              <w:bottom w:w="60" w:type="dxa"/>
              <w:right w:w="80" w:type="dxa"/>
            </w:tcMar>
            <w:vAlign w:val="center"/>
          </w:tcPr>
          <w:p w14:paraId="4A943E75"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Vegetation-density index derived from NIR and red bands</w:t>
            </w:r>
          </w:p>
        </w:tc>
      </w:tr>
      <w:tr w:rsidR="00BC1555" w14:paraId="25A4C971" w14:textId="77777777">
        <w:tc>
          <w:tcPr>
            <w:tcW w:w="1500" w:type="dxa"/>
            <w:shd w:val="clear" w:color="auto" w:fill="F2F6F5"/>
            <w:tcMar>
              <w:top w:w="60" w:type="dxa"/>
              <w:left w:w="80" w:type="dxa"/>
              <w:bottom w:w="60" w:type="dxa"/>
              <w:right w:w="80" w:type="dxa"/>
            </w:tcMar>
            <w:vAlign w:val="center"/>
          </w:tcPr>
          <w:p w14:paraId="37A6E2FD"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NDWI</w:t>
            </w:r>
          </w:p>
        </w:tc>
        <w:tc>
          <w:tcPr>
            <w:tcW w:w="1700" w:type="dxa"/>
            <w:shd w:val="clear" w:color="auto" w:fill="F2F6F5"/>
            <w:tcMar>
              <w:top w:w="60" w:type="dxa"/>
              <w:left w:w="80" w:type="dxa"/>
              <w:bottom w:w="60" w:type="dxa"/>
              <w:right w:w="80" w:type="dxa"/>
            </w:tcMar>
            <w:vAlign w:val="center"/>
          </w:tcPr>
          <w:p w14:paraId="185EDF66"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Dependent</w:t>
            </w:r>
          </w:p>
        </w:tc>
        <w:tc>
          <w:tcPr>
            <w:tcW w:w="2560" w:type="dxa"/>
            <w:shd w:val="clear" w:color="auto" w:fill="F2F6F5"/>
            <w:tcMar>
              <w:top w:w="60" w:type="dxa"/>
              <w:left w:w="80" w:type="dxa"/>
              <w:bottom w:w="60" w:type="dxa"/>
              <w:right w:w="80" w:type="dxa"/>
            </w:tcMar>
            <w:vAlign w:val="center"/>
          </w:tcPr>
          <w:p w14:paraId="0AAD1D95"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Continuous (ratio, −1 to +1)</w:t>
            </w:r>
          </w:p>
        </w:tc>
        <w:tc>
          <w:tcPr>
            <w:tcW w:w="3600" w:type="dxa"/>
            <w:shd w:val="clear" w:color="auto" w:fill="F2F6F5"/>
            <w:tcMar>
              <w:top w:w="60" w:type="dxa"/>
              <w:left w:w="80" w:type="dxa"/>
              <w:bottom w:w="60" w:type="dxa"/>
              <w:right w:w="80" w:type="dxa"/>
            </w:tcMar>
            <w:vAlign w:val="center"/>
          </w:tcPr>
          <w:p w14:paraId="2E548238"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Open-water index derived from green and NIR bands</w:t>
            </w:r>
          </w:p>
        </w:tc>
      </w:tr>
      <w:tr w:rsidR="00BC1555" w14:paraId="0C412EFB" w14:textId="77777777">
        <w:tc>
          <w:tcPr>
            <w:tcW w:w="1500" w:type="dxa"/>
            <w:tcMar>
              <w:top w:w="60" w:type="dxa"/>
              <w:left w:w="80" w:type="dxa"/>
              <w:bottom w:w="60" w:type="dxa"/>
              <w:right w:w="80" w:type="dxa"/>
            </w:tcMar>
            <w:vAlign w:val="center"/>
          </w:tcPr>
          <w:p w14:paraId="5AD21A90"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Region</w:t>
            </w:r>
          </w:p>
        </w:tc>
        <w:tc>
          <w:tcPr>
            <w:tcW w:w="1700" w:type="dxa"/>
            <w:tcMar>
              <w:top w:w="60" w:type="dxa"/>
              <w:left w:w="80" w:type="dxa"/>
              <w:bottom w:w="60" w:type="dxa"/>
              <w:right w:w="80" w:type="dxa"/>
            </w:tcMar>
            <w:vAlign w:val="center"/>
          </w:tcPr>
          <w:p w14:paraId="4951FFC5"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Independent</w:t>
            </w:r>
          </w:p>
        </w:tc>
        <w:tc>
          <w:tcPr>
            <w:tcW w:w="2560" w:type="dxa"/>
            <w:tcMar>
              <w:top w:w="60" w:type="dxa"/>
              <w:left w:w="80" w:type="dxa"/>
              <w:bottom w:w="60" w:type="dxa"/>
              <w:right w:w="80" w:type="dxa"/>
            </w:tcMar>
            <w:vAlign w:val="center"/>
          </w:tcPr>
          <w:p w14:paraId="69CE1343"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Categorical (5 levels)</w:t>
            </w:r>
          </w:p>
        </w:tc>
        <w:tc>
          <w:tcPr>
            <w:tcW w:w="3600" w:type="dxa"/>
            <w:tcMar>
              <w:top w:w="60" w:type="dxa"/>
              <w:left w:w="80" w:type="dxa"/>
              <w:bottom w:w="60" w:type="dxa"/>
              <w:right w:w="80" w:type="dxa"/>
            </w:tcMar>
            <w:vAlign w:val="center"/>
          </w:tcPr>
          <w:p w14:paraId="21C5E45B"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Northern, Southern, Eastern, Western, Dynamic Targeting</w:t>
            </w:r>
          </w:p>
        </w:tc>
      </w:tr>
      <w:tr w:rsidR="00BC1555" w14:paraId="054DA91D" w14:textId="77777777">
        <w:tc>
          <w:tcPr>
            <w:tcW w:w="1500" w:type="dxa"/>
            <w:shd w:val="clear" w:color="auto" w:fill="F2F6F5"/>
            <w:tcMar>
              <w:top w:w="60" w:type="dxa"/>
              <w:left w:w="80" w:type="dxa"/>
              <w:bottom w:w="60" w:type="dxa"/>
              <w:right w:w="80" w:type="dxa"/>
            </w:tcMar>
            <w:vAlign w:val="center"/>
          </w:tcPr>
          <w:p w14:paraId="1ADF0542"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Zone type</w:t>
            </w:r>
          </w:p>
        </w:tc>
        <w:tc>
          <w:tcPr>
            <w:tcW w:w="1700" w:type="dxa"/>
            <w:shd w:val="clear" w:color="auto" w:fill="F2F6F5"/>
            <w:tcMar>
              <w:top w:w="60" w:type="dxa"/>
              <w:left w:w="80" w:type="dxa"/>
              <w:bottom w:w="60" w:type="dxa"/>
              <w:right w:w="80" w:type="dxa"/>
            </w:tcMar>
            <w:vAlign w:val="center"/>
          </w:tcPr>
          <w:p w14:paraId="78D967A0"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Independent</w:t>
            </w:r>
          </w:p>
        </w:tc>
        <w:tc>
          <w:tcPr>
            <w:tcW w:w="2560" w:type="dxa"/>
            <w:shd w:val="clear" w:color="auto" w:fill="F2F6F5"/>
            <w:tcMar>
              <w:top w:w="60" w:type="dxa"/>
              <w:left w:w="80" w:type="dxa"/>
              <w:bottom w:w="60" w:type="dxa"/>
              <w:right w:w="80" w:type="dxa"/>
            </w:tcMar>
            <w:vAlign w:val="center"/>
          </w:tcPr>
          <w:p w14:paraId="47695D3C"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Categorical (7 levels)</w:t>
            </w:r>
          </w:p>
        </w:tc>
        <w:tc>
          <w:tcPr>
            <w:tcW w:w="3600" w:type="dxa"/>
            <w:shd w:val="clear" w:color="auto" w:fill="F2F6F5"/>
            <w:tcMar>
              <w:top w:w="60" w:type="dxa"/>
              <w:left w:w="80" w:type="dxa"/>
              <w:bottom w:w="60" w:type="dxa"/>
              <w:right w:w="80" w:type="dxa"/>
            </w:tcMar>
            <w:vAlign w:val="center"/>
          </w:tcPr>
          <w:p w14:paraId="302AA73B"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Ecological zone of the pixel (e.g. Open Water, Near Shore)</w:t>
            </w:r>
          </w:p>
        </w:tc>
      </w:tr>
      <w:tr w:rsidR="00BC1555" w14:paraId="0D248484" w14:textId="77777777">
        <w:tc>
          <w:tcPr>
            <w:tcW w:w="1500" w:type="dxa"/>
            <w:tcMar>
              <w:top w:w="60" w:type="dxa"/>
              <w:left w:w="80" w:type="dxa"/>
              <w:bottom w:w="60" w:type="dxa"/>
              <w:right w:w="80" w:type="dxa"/>
            </w:tcMar>
            <w:vAlign w:val="center"/>
          </w:tcPr>
          <w:p w14:paraId="10B66A3C"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Year</w:t>
            </w:r>
          </w:p>
        </w:tc>
        <w:tc>
          <w:tcPr>
            <w:tcW w:w="1700" w:type="dxa"/>
            <w:tcMar>
              <w:top w:w="60" w:type="dxa"/>
              <w:left w:w="80" w:type="dxa"/>
              <w:bottom w:w="60" w:type="dxa"/>
              <w:right w:w="80" w:type="dxa"/>
            </w:tcMar>
            <w:vAlign w:val="center"/>
          </w:tcPr>
          <w:p w14:paraId="411648B4"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Independent</w:t>
            </w:r>
          </w:p>
        </w:tc>
        <w:tc>
          <w:tcPr>
            <w:tcW w:w="2560" w:type="dxa"/>
            <w:tcMar>
              <w:top w:w="60" w:type="dxa"/>
              <w:left w:w="80" w:type="dxa"/>
              <w:bottom w:w="60" w:type="dxa"/>
              <w:right w:w="80" w:type="dxa"/>
            </w:tcMar>
            <w:vAlign w:val="center"/>
          </w:tcPr>
          <w:p w14:paraId="0EEFF11E"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Categorical / ordinal (3 levels)</w:t>
            </w:r>
          </w:p>
        </w:tc>
        <w:tc>
          <w:tcPr>
            <w:tcW w:w="3600" w:type="dxa"/>
            <w:tcMar>
              <w:top w:w="60" w:type="dxa"/>
              <w:left w:w="80" w:type="dxa"/>
              <w:bottom w:w="60" w:type="dxa"/>
              <w:right w:w="80" w:type="dxa"/>
            </w:tcMar>
            <w:vAlign w:val="center"/>
          </w:tcPr>
          <w:p w14:paraId="2601C991"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Observation epoch: 2017, 2022, 2025</w:t>
            </w:r>
          </w:p>
        </w:tc>
      </w:tr>
      <w:tr w:rsidR="00BC1555" w14:paraId="0E8A5B43" w14:textId="77777777">
        <w:tc>
          <w:tcPr>
            <w:tcW w:w="1500" w:type="dxa"/>
            <w:shd w:val="clear" w:color="auto" w:fill="F2F6F5"/>
            <w:tcMar>
              <w:top w:w="60" w:type="dxa"/>
              <w:left w:w="80" w:type="dxa"/>
              <w:bottom w:w="60" w:type="dxa"/>
              <w:right w:w="80" w:type="dxa"/>
            </w:tcMar>
            <w:vAlign w:val="center"/>
          </w:tcPr>
          <w:p w14:paraId="3585F061"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Month</w:t>
            </w:r>
          </w:p>
        </w:tc>
        <w:tc>
          <w:tcPr>
            <w:tcW w:w="1700" w:type="dxa"/>
            <w:shd w:val="clear" w:color="auto" w:fill="F2F6F5"/>
            <w:tcMar>
              <w:top w:w="60" w:type="dxa"/>
              <w:left w:w="80" w:type="dxa"/>
              <w:bottom w:w="60" w:type="dxa"/>
              <w:right w:w="80" w:type="dxa"/>
            </w:tcMar>
            <w:vAlign w:val="center"/>
          </w:tcPr>
          <w:p w14:paraId="6E63940D"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Independent</w:t>
            </w:r>
          </w:p>
        </w:tc>
        <w:tc>
          <w:tcPr>
            <w:tcW w:w="2560" w:type="dxa"/>
            <w:shd w:val="clear" w:color="auto" w:fill="F2F6F5"/>
            <w:tcMar>
              <w:top w:w="60" w:type="dxa"/>
              <w:left w:w="80" w:type="dxa"/>
              <w:bottom w:w="60" w:type="dxa"/>
              <w:right w:w="80" w:type="dxa"/>
            </w:tcMar>
            <w:vAlign w:val="center"/>
          </w:tcPr>
          <w:p w14:paraId="7D339641"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Categorical / ordinal (5 levels)</w:t>
            </w:r>
          </w:p>
        </w:tc>
        <w:tc>
          <w:tcPr>
            <w:tcW w:w="3600" w:type="dxa"/>
            <w:shd w:val="clear" w:color="auto" w:fill="F2F6F5"/>
            <w:tcMar>
              <w:top w:w="60" w:type="dxa"/>
              <w:left w:w="80" w:type="dxa"/>
              <w:bottom w:w="60" w:type="dxa"/>
              <w:right w:w="80" w:type="dxa"/>
            </w:tcMar>
            <w:vAlign w:val="center"/>
          </w:tcPr>
          <w:p w14:paraId="3F182C3B"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January, February, March, June, September</w:t>
            </w:r>
          </w:p>
        </w:tc>
      </w:tr>
    </w:tbl>
    <w:p w14:paraId="60C0A795" w14:textId="77777777" w:rsidR="003F30FB" w:rsidRPr="00352C77" w:rsidRDefault="003F30FB" w:rsidP="00A623D5">
      <w:pPr>
        <w:spacing w:after="120" w:line="360" w:lineRule="auto"/>
        <w:rPr>
          <w:rFonts w:ascii="Times New Roman" w:hAnsi="Times New Roman" w:cs="Times New Roman"/>
        </w:rPr>
      </w:pPr>
    </w:p>
    <w:p w14:paraId="59E9EE65" w14:textId="77777777" w:rsidR="003F30FB" w:rsidRPr="00352C77" w:rsidRDefault="007B6AAF" w:rsidP="00A623D5">
      <w:pPr>
        <w:pStyle w:val="Heading2"/>
        <w:spacing w:line="360" w:lineRule="auto"/>
        <w:rPr>
          <w:rFonts w:ascii="Times New Roman" w:hAnsi="Times New Roman" w:cs="Times New Roman"/>
        </w:rPr>
      </w:pPr>
      <w:bookmarkStart w:id="97" w:name="_Toc237884314"/>
      <w:r>
        <w:rPr>
          <w:rFonts w:ascii="Times New Roman" w:hAnsi="Times New Roman" w:cs="Times New Roman"/>
        </w:rPr>
        <w:t>3.9 Data Analysis</w:t>
      </w:r>
      <w:bookmarkEnd w:id="97"/>
    </w:p>
    <w:p w14:paraId="7E6B8EC6" w14:textId="77777777" w:rsidR="003F30FB"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Data were analysed using both descriptive and inferential statistical methods, structured so that each research question is answered by an explicitly stated hypothesis test rather than by description alone. All analyses were conducted at a significance level of α = 0.05, and results are reported with the relevant test statistic, degrees of freedom, exact or bounded p-value and an appropriate measure of effect size, in line with standard statistical-reporting conventions.</w:t>
      </w:r>
    </w:p>
    <w:p w14:paraId="7F514C52" w14:textId="77777777" w:rsidR="003F30FB" w:rsidRPr="00352C77" w:rsidRDefault="007B6AAF" w:rsidP="00A623D5">
      <w:pPr>
        <w:pStyle w:val="Heading3"/>
        <w:spacing w:line="360" w:lineRule="auto"/>
        <w:rPr>
          <w:rFonts w:ascii="Times New Roman" w:hAnsi="Times New Roman" w:cs="Times New Roman"/>
        </w:rPr>
      </w:pPr>
      <w:bookmarkStart w:id="98" w:name="_Toc237884315"/>
      <w:r>
        <w:rPr>
          <w:rFonts w:ascii="Times New Roman" w:hAnsi="Times New Roman" w:cs="Times New Roman"/>
        </w:rPr>
        <w:lastRenderedPageBreak/>
        <w:t>3.9.1 Descriptive Statistics</w:t>
      </w:r>
      <w:bookmarkEnd w:id="98"/>
    </w:p>
    <w:p w14:paraId="6CE9D282" w14:textId="77777777" w:rsidR="003F30FB"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For NDVI and NDWI, descriptive statistics (mean, standard deviation, minimum, maximum, median and quartiles) were computed overall and disaggregated by zone type, region, year, month and station. Ninety-five-percent confidence intervals were computed for the overall means to quantify the precision of the estimates. Temporal change was additionally summarised as the percentage change in mean NDVI between successive observation years.</w:t>
      </w:r>
    </w:p>
    <w:p w14:paraId="613DB4A5" w14:textId="77777777" w:rsidR="003F30FB" w:rsidRPr="00352C77" w:rsidRDefault="007B6AAF" w:rsidP="00A623D5">
      <w:pPr>
        <w:pStyle w:val="Heading3"/>
        <w:spacing w:line="360" w:lineRule="auto"/>
        <w:rPr>
          <w:rFonts w:ascii="Times New Roman" w:hAnsi="Times New Roman" w:cs="Times New Roman"/>
        </w:rPr>
      </w:pPr>
      <w:bookmarkStart w:id="99" w:name="_Toc237884316"/>
      <w:r>
        <w:rPr>
          <w:rFonts w:ascii="Times New Roman" w:hAnsi="Times New Roman" w:cs="Times New Roman"/>
        </w:rPr>
        <w:t>3.9.2 Research Hypotheses</w:t>
      </w:r>
      <w:bookmarkEnd w:id="99"/>
    </w:p>
    <w:p w14:paraId="1747FBAE" w14:textId="77777777" w:rsidR="0038279B" w:rsidRDefault="007B6AAF" w:rsidP="00A623D5">
      <w:pPr>
        <w:spacing w:after="160" w:line="360" w:lineRule="auto"/>
        <w:jc w:val="both"/>
        <w:rPr>
          <w:rFonts w:ascii="Times New Roman" w:hAnsi="Times New Roman" w:cs="Times New Roman"/>
        </w:rPr>
      </w:pPr>
      <w:r>
        <w:rPr>
          <w:rFonts w:ascii="Times New Roman" w:hAnsi="Times New Roman" w:cs="Times New Roman"/>
        </w:rPr>
        <w:t>Five hypotheses were formulated to test whether the descriptive patterns observed in the data reflect statistically significant structure. In each case the null hypothesis (H0) states that there is no difference or no association, and the alternative hypothesis (H1) states that a difference or association exists.</w:t>
      </w:r>
    </w:p>
    <w:p w14:paraId="3F8EFE9A" w14:textId="77777777" w:rsidR="0038279B"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H1: Mean NDVI (and NDWI) differ significantly among the seven ecological zone types. </w:t>
      </w:r>
    </w:p>
    <w:p w14:paraId="6BCA4338" w14:textId="77777777" w:rsidR="0038279B"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H2: Mean NDVI (and NDWI) differ significantly among the five regions. </w:t>
      </w:r>
    </w:p>
    <w:p w14:paraId="49819D0D" w14:textId="77777777" w:rsidR="0038279B" w:rsidRDefault="007B6AAF" w:rsidP="00A623D5">
      <w:pPr>
        <w:spacing w:after="160" w:line="360" w:lineRule="auto"/>
        <w:jc w:val="both"/>
        <w:rPr>
          <w:rFonts w:ascii="Times New Roman" w:hAnsi="Times New Roman" w:cs="Times New Roman"/>
        </w:rPr>
      </w:pPr>
      <w:r>
        <w:rPr>
          <w:rFonts w:ascii="Times New Roman" w:hAnsi="Times New Roman" w:cs="Times New Roman"/>
        </w:rPr>
        <w:t>H3: Mean NDVI differs significantly among the three observation years.</w:t>
      </w:r>
    </w:p>
    <w:p w14:paraId="0C72D02C" w14:textId="77777777" w:rsidR="0038279B" w:rsidRDefault="007B6AAF" w:rsidP="00A623D5">
      <w:pPr>
        <w:spacing w:after="160" w:line="360" w:lineRule="auto"/>
        <w:jc w:val="both"/>
        <w:rPr>
          <w:rFonts w:ascii="Times New Roman" w:hAnsi="Times New Roman" w:cs="Times New Roman"/>
        </w:rPr>
      </w:pPr>
      <w:r>
        <w:rPr>
          <w:rFonts w:ascii="Times New Roman" w:hAnsi="Times New Roman" w:cs="Times New Roman"/>
        </w:rPr>
        <w:t>H4: Mean NDVI differs significantly among the five sampled months.</w:t>
      </w:r>
    </w:p>
    <w:p w14:paraId="2BA8D04C" w14:textId="77777777" w:rsidR="003F30FB"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H5: NDVI and NDWI are significantly correlated. For each, the corresponding null hypothesis asserts the absence of the stated difference or correlation.</w:t>
      </w:r>
    </w:p>
    <w:p w14:paraId="064BC2D0" w14:textId="77777777" w:rsidR="003F30FB" w:rsidRPr="00352C77" w:rsidRDefault="007B6AAF" w:rsidP="00A623D5">
      <w:pPr>
        <w:pStyle w:val="Heading3"/>
        <w:spacing w:line="360" w:lineRule="auto"/>
        <w:rPr>
          <w:rFonts w:ascii="Times New Roman" w:hAnsi="Times New Roman" w:cs="Times New Roman"/>
        </w:rPr>
      </w:pPr>
      <w:bookmarkStart w:id="100" w:name="_Toc237884317"/>
      <w:r>
        <w:rPr>
          <w:rFonts w:ascii="Times New Roman" w:hAnsi="Times New Roman" w:cs="Times New Roman"/>
        </w:rPr>
        <w:t>3.9.3 Tests of Group Differences</w:t>
      </w:r>
      <w:bookmarkEnd w:id="100"/>
    </w:p>
    <w:p w14:paraId="237D58D1" w14:textId="77777777" w:rsidR="003F30FB"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Differences in mean NDVI and NDWI among zone types, regions, years and months were tested using one-way analysis of variance (ANOVA). Because the groups differed markedly in their variances (for example, the standard deviation of NDVI ranged from 0.037 in the High Seasonal Infestation Variation zone to 0.274 in the Southern region), the homogeneity-of-variance assumption underlying the classical ANOVA was not satisfied. Welch’s ANOVA, which does not assume equal variances, was therefore adopted as the primary test of group differences, with the classical ANOVA reported alongside for comparison. Where a significant overall difference was found, the practical importance of that difference was assessed using the effect size eta-squared (η²), interpreted using the conventional benchmarks of 0.01 (small), 0.06 (medium) and 0.14 </w:t>
      </w:r>
      <w:r>
        <w:rPr>
          <w:rFonts w:ascii="Times New Roman" w:hAnsi="Times New Roman" w:cs="Times New Roman"/>
        </w:rPr>
        <w:lastRenderedPageBreak/>
        <w:t>(large). Pairwise differences between specific groups would be examined using the Games-Howell post-hoc procedure, which is appropriate under unequal variances.</w:t>
      </w:r>
    </w:p>
    <w:p w14:paraId="1AC506B2" w14:textId="77777777" w:rsidR="003F30FB" w:rsidRPr="00352C77" w:rsidRDefault="007B6AAF" w:rsidP="00A623D5">
      <w:pPr>
        <w:pStyle w:val="Heading3"/>
        <w:spacing w:line="360" w:lineRule="auto"/>
        <w:rPr>
          <w:rFonts w:ascii="Times New Roman" w:hAnsi="Times New Roman" w:cs="Times New Roman"/>
        </w:rPr>
      </w:pPr>
      <w:bookmarkStart w:id="101" w:name="_Toc237884318"/>
      <w:r>
        <w:rPr>
          <w:rFonts w:ascii="Times New Roman" w:hAnsi="Times New Roman" w:cs="Times New Roman"/>
        </w:rPr>
        <w:t>3.9.4 Correlation Analysis</w:t>
      </w:r>
      <w:bookmarkEnd w:id="101"/>
    </w:p>
    <w:p w14:paraId="139E9A0E" w14:textId="77777777" w:rsidR="003F30FB"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The relationship between NDVI and NDWI was examined using the Pearson product-moment correlation coefficient, computed overall and separately for each zone type. For every coefficient, statistical significance was tested using the associated t-statistic with n − 2 degrees of freedom, the coefficient of determination (r²) was reported as a measure of shared variance, and a 95% confidence interval was constructed using Fisher’s z-transformation. This allows the strength, direction, significance and precision of each relationship to be reported together.</w:t>
      </w:r>
    </w:p>
    <w:p w14:paraId="4688D830" w14:textId="77777777" w:rsidR="003F30FB" w:rsidRPr="00352C77" w:rsidRDefault="007B6AAF" w:rsidP="00A623D5">
      <w:pPr>
        <w:pStyle w:val="Heading3"/>
        <w:spacing w:line="360" w:lineRule="auto"/>
        <w:rPr>
          <w:rFonts w:ascii="Times New Roman" w:hAnsi="Times New Roman" w:cs="Times New Roman"/>
        </w:rPr>
      </w:pPr>
      <w:bookmarkStart w:id="102" w:name="_Toc237884319"/>
      <w:r>
        <w:rPr>
          <w:rFonts w:ascii="Times New Roman" w:hAnsi="Times New Roman" w:cs="Times New Roman"/>
        </w:rPr>
        <w:t>3.9.5 Statistical Assumptions</w:t>
      </w:r>
      <w:bookmarkEnd w:id="102"/>
    </w:p>
    <w:p w14:paraId="0ADA7FC2" w14:textId="77777777" w:rsidR="003F30FB"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Three assumptions relevant to the parametric tests were considered. Independence of observations is approximate rather than strict, because neighbouring pixels are spatially autocorrelated; this is acknowledged as a limitation and the very large sample size is noted as a partial safeguard against Type I error inflation from minor departures. Normality is not strictly met, as the NDVI distribution is right-skewed (Figure 22). however, with samples of several thousand per group the sampling distribution of the mean is approximately normal by the central limit theorem, so ANOVA remains robust. Homogeneity of variance is clearly violated, which is precisely why Welch’s ANOVA rather than the classical ANOVA is used as the primary test.</w:t>
      </w:r>
    </w:p>
    <w:p w14:paraId="7B63F28A" w14:textId="77777777" w:rsidR="003F30FB" w:rsidRPr="00352C77" w:rsidRDefault="007B6AAF" w:rsidP="00A623D5">
      <w:pPr>
        <w:pStyle w:val="Heading3"/>
        <w:spacing w:line="360" w:lineRule="auto"/>
        <w:rPr>
          <w:rFonts w:ascii="Times New Roman" w:hAnsi="Times New Roman" w:cs="Times New Roman"/>
        </w:rPr>
      </w:pPr>
      <w:bookmarkStart w:id="103" w:name="_Toc237884320"/>
      <w:r>
        <w:rPr>
          <w:rFonts w:ascii="Times New Roman" w:hAnsi="Times New Roman" w:cs="Times New Roman"/>
        </w:rPr>
        <w:t>3.9.6 Software and Reproducibility</w:t>
      </w:r>
      <w:bookmarkEnd w:id="103"/>
    </w:p>
    <w:p w14:paraId="445C99C2" w14:textId="77777777" w:rsidR="003F30FB"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Image processing, cloud masking, compositing and index computation were performed in Google Earth Engine. Statistical analysis and visualisation (bar charts, line charts, box plots, scatter plots, heatmaps and histograms) were carried out in Python using standard scientific-computing and statistical libraries. Because all imagery is freely and openly licensed and all processing steps are scripted, the workflow is fully reproducible.</w:t>
      </w:r>
    </w:p>
    <w:p w14:paraId="2F838A9C" w14:textId="77777777" w:rsidR="003F30FB" w:rsidRPr="00352C77" w:rsidRDefault="007B6AAF" w:rsidP="00A623D5">
      <w:pPr>
        <w:pStyle w:val="Heading2"/>
        <w:spacing w:line="360" w:lineRule="auto"/>
        <w:rPr>
          <w:rFonts w:ascii="Times New Roman" w:hAnsi="Times New Roman" w:cs="Times New Roman"/>
        </w:rPr>
      </w:pPr>
      <w:bookmarkStart w:id="104" w:name="_Toc237884321"/>
      <w:r>
        <w:rPr>
          <w:rFonts w:ascii="Times New Roman" w:hAnsi="Times New Roman" w:cs="Times New Roman"/>
        </w:rPr>
        <w:t>3.10 Reliability, Validity and Methodological Limitations</w:t>
      </w:r>
      <w:bookmarkEnd w:id="104"/>
    </w:p>
    <w:p w14:paraId="6469420F" w14:textId="77777777" w:rsidR="003F30FB"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Several limitations qualify the interpretation of the results and are stated transparently. First, the classification was not calibrated against simultaneous field (ground-truth) observations, so the NDVI thresholds are operational approximations; remote sensing complements but does not </w:t>
      </w:r>
      <w:r>
        <w:rPr>
          <w:rFonts w:ascii="Times New Roman" w:hAnsi="Times New Roman" w:cs="Times New Roman"/>
        </w:rPr>
        <w:lastRenderedPageBreak/>
        <w:t>wholly replace field validation, and the absence of ground-truthing is a genuine limitation rather than a resolved issue. Second, NDVI is suppressed by the overlying water column, so submerged vegetation is likely to be under-detected, and mixed water-and-vegetation pixels can produce intermediate values that blur class boundaries. Third, spectral confusion between dense vegetation, algal blooms, turbid water and wet sediment can bias the classification. Fourth, spatial autocorrelation among neighbouring pixels means the effective sample size is smaller than the nominal pixel count, so the very small p-values should be read as evidence of the existence, but not the practical magnitude, of differences. Fifth, persistent cloud cover restricts the number of usable images and may bias sampling toward clearer periods. These limitations motivate the cautious, effect-size-aware interpretation adopted in Chapter Four.</w:t>
      </w:r>
    </w:p>
    <w:p w14:paraId="35182CEA" w14:textId="77777777" w:rsidR="003F30FB" w:rsidRPr="00352C77" w:rsidRDefault="007B6AAF" w:rsidP="00A623D5">
      <w:pPr>
        <w:pStyle w:val="Heading2"/>
        <w:spacing w:line="360" w:lineRule="auto"/>
        <w:rPr>
          <w:rFonts w:ascii="Times New Roman" w:hAnsi="Times New Roman" w:cs="Times New Roman"/>
        </w:rPr>
      </w:pPr>
      <w:bookmarkStart w:id="105" w:name="_Toc237884322"/>
      <w:r>
        <w:rPr>
          <w:rFonts w:ascii="Times New Roman" w:hAnsi="Times New Roman" w:cs="Times New Roman"/>
        </w:rPr>
        <w:t>3.11 Ethical Considerations</w:t>
      </w:r>
      <w:bookmarkEnd w:id="105"/>
    </w:p>
    <w:p w14:paraId="7B7FE352" w14:textId="77777777" w:rsidR="003F30FB"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The study used freely available, openly licensed satellite imagery and did not involve human or animal subjects. All data sources and prior works were duly acknowledged and referenced, and the analysis was conducted and reported objectively and transparently, including the honest disclosure of the methodological limitations set out above.</w:t>
      </w:r>
    </w:p>
    <w:p w14:paraId="7440CA94" w14:textId="77777777" w:rsidR="00DB0109" w:rsidRPr="00352C77" w:rsidRDefault="007B6AAF" w:rsidP="00A623D5">
      <w:pPr>
        <w:pStyle w:val="Heading1"/>
        <w:pageBreakBefore/>
        <w:spacing w:line="360" w:lineRule="auto"/>
        <w:rPr>
          <w:rFonts w:ascii="Times New Roman" w:hAnsi="Times New Roman" w:cs="Times New Roman"/>
        </w:rPr>
      </w:pPr>
      <w:bookmarkStart w:id="106" w:name="_Toc237884323"/>
      <w:r>
        <w:rPr>
          <w:rFonts w:ascii="Times New Roman" w:hAnsi="Times New Roman" w:cs="Times New Roman"/>
        </w:rPr>
        <w:lastRenderedPageBreak/>
        <w:t>CHAPTER FOUR: RESULTS AND DISCUSSION</w:t>
      </w:r>
      <w:bookmarkEnd w:id="106"/>
    </w:p>
    <w:p w14:paraId="74A89177" w14:textId="77777777" w:rsidR="00DB0109" w:rsidRPr="00352C77" w:rsidRDefault="007B6AAF" w:rsidP="00A623D5">
      <w:pPr>
        <w:pStyle w:val="Heading2"/>
        <w:spacing w:line="360" w:lineRule="auto"/>
        <w:rPr>
          <w:rFonts w:ascii="Times New Roman" w:hAnsi="Times New Roman" w:cs="Times New Roman"/>
        </w:rPr>
      </w:pPr>
      <w:bookmarkStart w:id="107" w:name="_Toc237884324"/>
      <w:r>
        <w:rPr>
          <w:rFonts w:ascii="Times New Roman" w:hAnsi="Times New Roman" w:cs="Times New Roman"/>
        </w:rPr>
        <w:t>4.1 Introduction</w:t>
      </w:r>
      <w:bookmarkEnd w:id="107"/>
    </w:p>
    <w:p w14:paraId="01E16C42"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This chapter presents the findings derived from the analysis of 30,296 pixel-level records of NDVI and NDWI extracted from Sentinel-2 imagery covering Lake Wamala. The dataset spans three years (2017, 2022 and 2025), five regions (Eastern, Northern, Southern, Western and Dynamic Targeting) and seven ecological zone types. The results are organised into thematic sections addressing general dataset characteristics, spatial distribution by zone type, regional variation, temporal trends, seasonal patterns, weed-cover classification, the NDVI–NDWI relationship and station-level analysis. Each section is supported by statistical summaries, visualisations and interpretive discussion situated within the broader context of lake ecology, weed management and climate variability in East Africa.</w:t>
      </w:r>
    </w:p>
    <w:p w14:paraId="4002D45A" w14:textId="77777777" w:rsidR="003F30FB"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To move beyond description, the analysis in this chapter tests five formal hypotheses (H1–H5, defined in Section 3.9.2): that mean NDVI and NDWI differ among zone types (H1) and among regions (H2), that mean NDVI differs among years (H3) and among months (H4), and that NDVI and NDWI are correlated (H5). Group differences are tested using Welch’s ANOVA, which is robust to the unequal group variances present in these data, with the classical ANOVA reported for comparison and eta-squared (η²) reported as the effect size; correlations are tested for significance and reported with r² and 95% confidence intervals. All tests use a significance level of α = 0.05.</w:t>
      </w:r>
    </w:p>
    <w:p w14:paraId="47995943" w14:textId="77777777" w:rsidR="00DB0109" w:rsidRPr="00352C77" w:rsidRDefault="007B6AAF" w:rsidP="00A623D5">
      <w:pPr>
        <w:pStyle w:val="Heading2"/>
        <w:spacing w:line="360" w:lineRule="auto"/>
        <w:rPr>
          <w:rFonts w:ascii="Times New Roman" w:hAnsi="Times New Roman" w:cs="Times New Roman"/>
        </w:rPr>
      </w:pPr>
      <w:bookmarkStart w:id="108" w:name="_Toc237884325"/>
      <w:r>
        <w:rPr>
          <w:rFonts w:ascii="Times New Roman" w:hAnsi="Times New Roman" w:cs="Times New Roman"/>
        </w:rPr>
        <w:t>4.2 General Dataset Characteristics</w:t>
      </w:r>
      <w:bookmarkEnd w:id="108"/>
    </w:p>
    <w:p w14:paraId="610244A4"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The master dataset comprises 30,296 individual pixel observations collected from 16 ground stations distributed across Lake Wamala, covering three temporal snapshots and five measurement months. The overall mean NDVI for the entire lake was −0.073 (SD = 0.153), indicating a dominance of water over vegetation-covered pixels. The overall mean NDWI was 0.206 (SD = 0.169), reflecting the predominance of open-water signatures. NDVI values ranged from −0.488 (deep open water) to 0.847 (dense vegetation), while NDWI ranged from −0.717 (dense vegetation) to 0.511 (open water). These ranges confirm the high spectral contrast between water and vegetation that makes NDVI and NDWI effective discriminators for weed mapping. The negative mean NDVI is consistent with the predominance of water, which exhibits negative NDVI </w:t>
      </w:r>
      <w:r>
        <w:rPr>
          <w:rFonts w:ascii="Times New Roman" w:hAnsi="Times New Roman" w:cs="Times New Roman"/>
        </w:rPr>
        <w:lastRenderedPageBreak/>
        <w:t>due to strong absorption in the near-infrared band, while the positive mean NDWI reflects the abundance of water pixels.</w:t>
      </w:r>
    </w:p>
    <w:p w14:paraId="2F103799" w14:textId="77777777" w:rsidR="00FF2CA1"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Because the sample is very large (n = 30,296), these means are estimated with high precision: the 95% confidence interval for the overall mean NDVI is [−0.075, −0.071], and that for the overall mean NDWI is [0.204, 0.208]. The narrowness of these intervals reflects the large number of observations rather than low variability, since the pixel-level standard deviations (0.153 for NDVI and 0.169 for NDWI) are themselves substantial.</w:t>
      </w:r>
    </w:p>
    <w:p w14:paraId="1C31B144" w14:textId="77777777" w:rsidR="009658D1" w:rsidRPr="00352C77" w:rsidRDefault="009658D1" w:rsidP="00A623D5">
      <w:pPr>
        <w:pStyle w:val="Caption"/>
        <w:keepNext/>
        <w:rPr>
          <w:rFonts w:ascii="Times New Roman" w:hAnsi="Times New Roman" w:cs="Times New Roman"/>
        </w:rPr>
      </w:pPr>
      <w:bookmarkStart w:id="109" w:name="_Toc237884351"/>
      <w:r>
        <w:rPr>
          <w:rFonts w:ascii="Times New Roman" w:hAnsi="Times New Roman" w:cs="Times New Roman"/>
        </w:rPr>
        <w:t xml:space="preserve">Table </w:t>
      </w:r>
      <w:r>
        <w:rPr>
          <w:rFonts w:ascii="Times New Roman" w:hAnsi="Times New Roman" w:cs="Times New Roman"/>
        </w:rPr>
        <w:fldChar w:fldCharType="begin"/>
      </w:r>
      <w:r>
        <w:rPr>
          <w:rFonts w:ascii="Times New Roman" w:hAnsi="Times New Roman" w:cs="Times New Roman"/>
        </w:rPr>
        <w:instrText xml:space="preserve"> SEQ Table \* ARABIC </w:instrText>
      </w:r>
      <w:r>
        <w:rPr>
          <w:rFonts w:ascii="Times New Roman" w:hAnsi="Times New Roman" w:cs="Times New Roman"/>
        </w:rPr>
        <w:fldChar w:fldCharType="separate"/>
      </w:r>
      <w:r>
        <w:rPr>
          <w:rFonts w:ascii="Times New Roman" w:hAnsi="Times New Roman" w:cs="Times New Roman"/>
          <w:noProof/>
        </w:rPr>
        <w:t>3</w:t>
      </w:r>
      <w:r>
        <w:rPr>
          <w:rFonts w:ascii="Times New Roman" w:hAnsi="Times New Roman" w:cs="Times New Roman"/>
        </w:rPr>
        <w:fldChar w:fldCharType="end"/>
      </w:r>
      <w:r>
        <w:rPr>
          <w:rFonts w:ascii="Times New Roman" w:hAnsi="Times New Roman" w:cs="Times New Roman"/>
        </w:rPr>
        <w:t>: Overall Descriptive Statistics for NDVI and NDWI</w:t>
      </w:r>
      <w:bookmarkEnd w:id="109"/>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60"/>
        <w:gridCol w:w="2500"/>
        <w:gridCol w:w="2500"/>
      </w:tblGrid>
      <w:tr w:rsidR="00BC1555" w14:paraId="46F9E359" w14:textId="77777777">
        <w:trPr>
          <w:tblHeader/>
        </w:trPr>
        <w:tc>
          <w:tcPr>
            <w:tcW w:w="4360" w:type="dxa"/>
            <w:shd w:val="clear" w:color="auto" w:fill="2E6B5E"/>
            <w:tcMar>
              <w:top w:w="60" w:type="dxa"/>
              <w:left w:w="110" w:type="dxa"/>
              <w:bottom w:w="60" w:type="dxa"/>
              <w:right w:w="110" w:type="dxa"/>
            </w:tcMar>
            <w:vAlign w:val="center"/>
          </w:tcPr>
          <w:p w14:paraId="396A3886"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b/>
                <w:bCs/>
                <w:color w:val="FFFFFF"/>
                <w:sz w:val="20"/>
                <w:szCs w:val="20"/>
              </w:rPr>
              <w:t>Statistic</w:t>
            </w:r>
          </w:p>
        </w:tc>
        <w:tc>
          <w:tcPr>
            <w:tcW w:w="2500" w:type="dxa"/>
            <w:shd w:val="clear" w:color="auto" w:fill="2E6B5E"/>
            <w:tcMar>
              <w:top w:w="60" w:type="dxa"/>
              <w:left w:w="110" w:type="dxa"/>
              <w:bottom w:w="60" w:type="dxa"/>
              <w:right w:w="110" w:type="dxa"/>
            </w:tcMar>
            <w:vAlign w:val="center"/>
          </w:tcPr>
          <w:p w14:paraId="3B0736B6"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b/>
                <w:bCs/>
                <w:color w:val="FFFFFF"/>
                <w:sz w:val="20"/>
                <w:szCs w:val="20"/>
              </w:rPr>
              <w:t>NDVI</w:t>
            </w:r>
          </w:p>
        </w:tc>
        <w:tc>
          <w:tcPr>
            <w:tcW w:w="2500" w:type="dxa"/>
            <w:shd w:val="clear" w:color="auto" w:fill="2E6B5E"/>
            <w:tcMar>
              <w:top w:w="60" w:type="dxa"/>
              <w:left w:w="110" w:type="dxa"/>
              <w:bottom w:w="60" w:type="dxa"/>
              <w:right w:w="110" w:type="dxa"/>
            </w:tcMar>
            <w:vAlign w:val="center"/>
          </w:tcPr>
          <w:p w14:paraId="1ECAA947"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b/>
                <w:bCs/>
                <w:color w:val="FFFFFF"/>
                <w:sz w:val="20"/>
                <w:szCs w:val="20"/>
              </w:rPr>
              <w:t>NDWI</w:t>
            </w:r>
          </w:p>
        </w:tc>
      </w:tr>
      <w:tr w:rsidR="00BC1555" w14:paraId="6B1C4DAC" w14:textId="77777777">
        <w:tc>
          <w:tcPr>
            <w:tcW w:w="4360" w:type="dxa"/>
            <w:tcMar>
              <w:top w:w="60" w:type="dxa"/>
              <w:left w:w="110" w:type="dxa"/>
              <w:bottom w:w="60" w:type="dxa"/>
              <w:right w:w="110" w:type="dxa"/>
            </w:tcMar>
            <w:vAlign w:val="center"/>
          </w:tcPr>
          <w:p w14:paraId="5022696A"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Count</w:t>
            </w:r>
          </w:p>
        </w:tc>
        <w:tc>
          <w:tcPr>
            <w:tcW w:w="2500" w:type="dxa"/>
            <w:tcMar>
              <w:top w:w="60" w:type="dxa"/>
              <w:left w:w="110" w:type="dxa"/>
              <w:bottom w:w="60" w:type="dxa"/>
              <w:right w:w="110" w:type="dxa"/>
            </w:tcMar>
            <w:vAlign w:val="center"/>
          </w:tcPr>
          <w:p w14:paraId="5332E16C"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30,296</w:t>
            </w:r>
          </w:p>
        </w:tc>
        <w:tc>
          <w:tcPr>
            <w:tcW w:w="2500" w:type="dxa"/>
            <w:tcMar>
              <w:top w:w="60" w:type="dxa"/>
              <w:left w:w="110" w:type="dxa"/>
              <w:bottom w:w="60" w:type="dxa"/>
              <w:right w:w="110" w:type="dxa"/>
            </w:tcMar>
            <w:vAlign w:val="center"/>
          </w:tcPr>
          <w:p w14:paraId="61FEC4DF"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30,296</w:t>
            </w:r>
          </w:p>
        </w:tc>
      </w:tr>
      <w:tr w:rsidR="00BC1555" w14:paraId="2606CA7C" w14:textId="77777777">
        <w:tc>
          <w:tcPr>
            <w:tcW w:w="4360" w:type="dxa"/>
            <w:shd w:val="clear" w:color="auto" w:fill="EEF4F2"/>
            <w:tcMar>
              <w:top w:w="60" w:type="dxa"/>
              <w:left w:w="110" w:type="dxa"/>
              <w:bottom w:w="60" w:type="dxa"/>
              <w:right w:w="110" w:type="dxa"/>
            </w:tcMar>
            <w:vAlign w:val="center"/>
          </w:tcPr>
          <w:p w14:paraId="21E07A8B"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Mean</w:t>
            </w:r>
          </w:p>
        </w:tc>
        <w:tc>
          <w:tcPr>
            <w:tcW w:w="2500" w:type="dxa"/>
            <w:shd w:val="clear" w:color="auto" w:fill="EEF4F2"/>
            <w:tcMar>
              <w:top w:w="60" w:type="dxa"/>
              <w:left w:w="110" w:type="dxa"/>
              <w:bottom w:w="60" w:type="dxa"/>
              <w:right w:w="110" w:type="dxa"/>
            </w:tcMar>
            <w:vAlign w:val="center"/>
          </w:tcPr>
          <w:p w14:paraId="3BC9EEBA"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−0.073</w:t>
            </w:r>
          </w:p>
        </w:tc>
        <w:tc>
          <w:tcPr>
            <w:tcW w:w="2500" w:type="dxa"/>
            <w:shd w:val="clear" w:color="auto" w:fill="EEF4F2"/>
            <w:tcMar>
              <w:top w:w="60" w:type="dxa"/>
              <w:left w:w="110" w:type="dxa"/>
              <w:bottom w:w="60" w:type="dxa"/>
              <w:right w:w="110" w:type="dxa"/>
            </w:tcMar>
            <w:vAlign w:val="center"/>
          </w:tcPr>
          <w:p w14:paraId="4CD8334E"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0.206</w:t>
            </w:r>
          </w:p>
        </w:tc>
      </w:tr>
      <w:tr w:rsidR="00BC1555" w14:paraId="33928F94" w14:textId="77777777">
        <w:tc>
          <w:tcPr>
            <w:tcW w:w="4360" w:type="dxa"/>
            <w:tcMar>
              <w:top w:w="60" w:type="dxa"/>
              <w:left w:w="110" w:type="dxa"/>
              <w:bottom w:w="60" w:type="dxa"/>
              <w:right w:w="110" w:type="dxa"/>
            </w:tcMar>
            <w:vAlign w:val="center"/>
          </w:tcPr>
          <w:p w14:paraId="1936CDA2"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Standard Deviation</w:t>
            </w:r>
          </w:p>
        </w:tc>
        <w:tc>
          <w:tcPr>
            <w:tcW w:w="2500" w:type="dxa"/>
            <w:tcMar>
              <w:top w:w="60" w:type="dxa"/>
              <w:left w:w="110" w:type="dxa"/>
              <w:bottom w:w="60" w:type="dxa"/>
              <w:right w:w="110" w:type="dxa"/>
            </w:tcMar>
            <w:vAlign w:val="center"/>
          </w:tcPr>
          <w:p w14:paraId="667B7B31"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0.153</w:t>
            </w:r>
          </w:p>
        </w:tc>
        <w:tc>
          <w:tcPr>
            <w:tcW w:w="2500" w:type="dxa"/>
            <w:tcMar>
              <w:top w:w="60" w:type="dxa"/>
              <w:left w:w="110" w:type="dxa"/>
              <w:bottom w:w="60" w:type="dxa"/>
              <w:right w:w="110" w:type="dxa"/>
            </w:tcMar>
            <w:vAlign w:val="center"/>
          </w:tcPr>
          <w:p w14:paraId="2A32019C"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0.169</w:t>
            </w:r>
          </w:p>
        </w:tc>
      </w:tr>
      <w:tr w:rsidR="00BC1555" w14:paraId="0B95A91B" w14:textId="77777777">
        <w:tc>
          <w:tcPr>
            <w:tcW w:w="4360" w:type="dxa"/>
            <w:shd w:val="clear" w:color="auto" w:fill="EEF4F2"/>
            <w:tcMar>
              <w:top w:w="60" w:type="dxa"/>
              <w:left w:w="110" w:type="dxa"/>
              <w:bottom w:w="60" w:type="dxa"/>
              <w:right w:w="110" w:type="dxa"/>
            </w:tcMar>
            <w:vAlign w:val="center"/>
          </w:tcPr>
          <w:p w14:paraId="21390189"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Minimum</w:t>
            </w:r>
          </w:p>
        </w:tc>
        <w:tc>
          <w:tcPr>
            <w:tcW w:w="2500" w:type="dxa"/>
            <w:shd w:val="clear" w:color="auto" w:fill="EEF4F2"/>
            <w:tcMar>
              <w:top w:w="60" w:type="dxa"/>
              <w:left w:w="110" w:type="dxa"/>
              <w:bottom w:w="60" w:type="dxa"/>
              <w:right w:w="110" w:type="dxa"/>
            </w:tcMar>
            <w:vAlign w:val="center"/>
          </w:tcPr>
          <w:p w14:paraId="22FC9806"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−0.488</w:t>
            </w:r>
          </w:p>
        </w:tc>
        <w:tc>
          <w:tcPr>
            <w:tcW w:w="2500" w:type="dxa"/>
            <w:shd w:val="clear" w:color="auto" w:fill="EEF4F2"/>
            <w:tcMar>
              <w:top w:w="60" w:type="dxa"/>
              <w:left w:w="110" w:type="dxa"/>
              <w:bottom w:w="60" w:type="dxa"/>
              <w:right w:w="110" w:type="dxa"/>
            </w:tcMar>
            <w:vAlign w:val="center"/>
          </w:tcPr>
          <w:p w14:paraId="4F60DAF2"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−0.717</w:t>
            </w:r>
          </w:p>
        </w:tc>
      </w:tr>
      <w:tr w:rsidR="00BC1555" w14:paraId="1B1B4731" w14:textId="77777777">
        <w:tc>
          <w:tcPr>
            <w:tcW w:w="4360" w:type="dxa"/>
            <w:tcMar>
              <w:top w:w="60" w:type="dxa"/>
              <w:left w:w="110" w:type="dxa"/>
              <w:bottom w:w="60" w:type="dxa"/>
              <w:right w:w="110" w:type="dxa"/>
            </w:tcMar>
            <w:vAlign w:val="center"/>
          </w:tcPr>
          <w:p w14:paraId="42157C39"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25th Percentile</w:t>
            </w:r>
          </w:p>
        </w:tc>
        <w:tc>
          <w:tcPr>
            <w:tcW w:w="2500" w:type="dxa"/>
            <w:tcMar>
              <w:top w:w="60" w:type="dxa"/>
              <w:left w:w="110" w:type="dxa"/>
              <w:bottom w:w="60" w:type="dxa"/>
              <w:right w:w="110" w:type="dxa"/>
            </w:tcMar>
            <w:vAlign w:val="center"/>
          </w:tcPr>
          <w:p w14:paraId="4D4B6D06"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−0.131</w:t>
            </w:r>
          </w:p>
        </w:tc>
        <w:tc>
          <w:tcPr>
            <w:tcW w:w="2500" w:type="dxa"/>
            <w:tcMar>
              <w:top w:w="60" w:type="dxa"/>
              <w:left w:w="110" w:type="dxa"/>
              <w:bottom w:w="60" w:type="dxa"/>
              <w:right w:w="110" w:type="dxa"/>
            </w:tcMar>
            <w:vAlign w:val="center"/>
          </w:tcPr>
          <w:p w14:paraId="61A2629C"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0.183</w:t>
            </w:r>
          </w:p>
        </w:tc>
      </w:tr>
      <w:tr w:rsidR="00BC1555" w14:paraId="52DF508C" w14:textId="77777777">
        <w:tc>
          <w:tcPr>
            <w:tcW w:w="4360" w:type="dxa"/>
            <w:shd w:val="clear" w:color="auto" w:fill="EEF4F2"/>
            <w:tcMar>
              <w:top w:w="60" w:type="dxa"/>
              <w:left w:w="110" w:type="dxa"/>
              <w:bottom w:w="60" w:type="dxa"/>
              <w:right w:w="110" w:type="dxa"/>
            </w:tcMar>
            <w:vAlign w:val="center"/>
          </w:tcPr>
          <w:p w14:paraId="00F514CF"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Median (50th)</w:t>
            </w:r>
          </w:p>
        </w:tc>
        <w:tc>
          <w:tcPr>
            <w:tcW w:w="2500" w:type="dxa"/>
            <w:shd w:val="clear" w:color="auto" w:fill="EEF4F2"/>
            <w:tcMar>
              <w:top w:w="60" w:type="dxa"/>
              <w:left w:w="110" w:type="dxa"/>
              <w:bottom w:w="60" w:type="dxa"/>
              <w:right w:w="110" w:type="dxa"/>
            </w:tcMar>
            <w:vAlign w:val="center"/>
          </w:tcPr>
          <w:p w14:paraId="552BFAA7"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−0.102</w:t>
            </w:r>
          </w:p>
        </w:tc>
        <w:tc>
          <w:tcPr>
            <w:tcW w:w="2500" w:type="dxa"/>
            <w:shd w:val="clear" w:color="auto" w:fill="EEF4F2"/>
            <w:tcMar>
              <w:top w:w="60" w:type="dxa"/>
              <w:left w:w="110" w:type="dxa"/>
              <w:bottom w:w="60" w:type="dxa"/>
              <w:right w:w="110" w:type="dxa"/>
            </w:tcMar>
            <w:vAlign w:val="center"/>
          </w:tcPr>
          <w:p w14:paraId="133BAE04"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0.228</w:t>
            </w:r>
          </w:p>
        </w:tc>
      </w:tr>
      <w:tr w:rsidR="00BC1555" w14:paraId="1B388533" w14:textId="77777777">
        <w:tc>
          <w:tcPr>
            <w:tcW w:w="4360" w:type="dxa"/>
            <w:tcMar>
              <w:top w:w="60" w:type="dxa"/>
              <w:left w:w="110" w:type="dxa"/>
              <w:bottom w:w="60" w:type="dxa"/>
              <w:right w:w="110" w:type="dxa"/>
            </w:tcMar>
            <w:vAlign w:val="center"/>
          </w:tcPr>
          <w:p w14:paraId="64B2A9B7"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75th Percentile</w:t>
            </w:r>
          </w:p>
        </w:tc>
        <w:tc>
          <w:tcPr>
            <w:tcW w:w="2500" w:type="dxa"/>
            <w:tcMar>
              <w:top w:w="60" w:type="dxa"/>
              <w:left w:w="110" w:type="dxa"/>
              <w:bottom w:w="60" w:type="dxa"/>
              <w:right w:w="110" w:type="dxa"/>
            </w:tcMar>
            <w:vAlign w:val="center"/>
          </w:tcPr>
          <w:p w14:paraId="3525C565"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−0.062</w:t>
            </w:r>
          </w:p>
        </w:tc>
        <w:tc>
          <w:tcPr>
            <w:tcW w:w="2500" w:type="dxa"/>
            <w:tcMar>
              <w:top w:w="60" w:type="dxa"/>
              <w:left w:w="110" w:type="dxa"/>
              <w:bottom w:w="60" w:type="dxa"/>
              <w:right w:w="110" w:type="dxa"/>
            </w:tcMar>
            <w:vAlign w:val="center"/>
          </w:tcPr>
          <w:p w14:paraId="05128D76"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0.287</w:t>
            </w:r>
          </w:p>
        </w:tc>
      </w:tr>
      <w:tr w:rsidR="00BC1555" w14:paraId="4EBE52BF" w14:textId="77777777">
        <w:tc>
          <w:tcPr>
            <w:tcW w:w="4360" w:type="dxa"/>
            <w:shd w:val="clear" w:color="auto" w:fill="EEF4F2"/>
            <w:tcMar>
              <w:top w:w="60" w:type="dxa"/>
              <w:left w:w="110" w:type="dxa"/>
              <w:bottom w:w="60" w:type="dxa"/>
              <w:right w:w="110" w:type="dxa"/>
            </w:tcMar>
            <w:vAlign w:val="center"/>
          </w:tcPr>
          <w:p w14:paraId="5614AAC3"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Maximum</w:t>
            </w:r>
          </w:p>
        </w:tc>
        <w:tc>
          <w:tcPr>
            <w:tcW w:w="2500" w:type="dxa"/>
            <w:shd w:val="clear" w:color="auto" w:fill="EEF4F2"/>
            <w:tcMar>
              <w:top w:w="60" w:type="dxa"/>
              <w:left w:w="110" w:type="dxa"/>
              <w:bottom w:w="60" w:type="dxa"/>
              <w:right w:w="110" w:type="dxa"/>
            </w:tcMar>
            <w:vAlign w:val="center"/>
          </w:tcPr>
          <w:p w14:paraId="71E7EF0D"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0.847</w:t>
            </w:r>
          </w:p>
        </w:tc>
        <w:tc>
          <w:tcPr>
            <w:tcW w:w="2500" w:type="dxa"/>
            <w:shd w:val="clear" w:color="auto" w:fill="EEF4F2"/>
            <w:tcMar>
              <w:top w:w="60" w:type="dxa"/>
              <w:left w:w="110" w:type="dxa"/>
              <w:bottom w:w="60" w:type="dxa"/>
              <w:right w:w="110" w:type="dxa"/>
            </w:tcMar>
            <w:vAlign w:val="center"/>
          </w:tcPr>
          <w:p w14:paraId="69CABB5C"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0.511</w:t>
            </w:r>
          </w:p>
        </w:tc>
      </w:tr>
    </w:tbl>
    <w:p w14:paraId="2A3A5A1E" w14:textId="77777777" w:rsidR="00DB0109" w:rsidRPr="00352C77" w:rsidRDefault="007B6AAF" w:rsidP="00A623D5">
      <w:pPr>
        <w:pStyle w:val="Heading2"/>
        <w:spacing w:line="360" w:lineRule="auto"/>
        <w:rPr>
          <w:rFonts w:ascii="Times New Roman" w:hAnsi="Times New Roman" w:cs="Times New Roman"/>
        </w:rPr>
      </w:pPr>
      <w:bookmarkStart w:id="110" w:name="_Toc237884326"/>
      <w:r>
        <w:rPr>
          <w:rFonts w:ascii="Times New Roman" w:hAnsi="Times New Roman" w:cs="Times New Roman"/>
        </w:rPr>
        <w:t>4.3 Spatial Distribution of NDVI and NDWI by Zone Type</w:t>
      </w:r>
      <w:bookmarkEnd w:id="110"/>
    </w:p>
    <w:p w14:paraId="1B9FE86C" w14:textId="77777777" w:rsidR="00DB0109" w:rsidRPr="00414D2A" w:rsidRDefault="007B6AAF" w:rsidP="00A623D5">
      <w:pPr>
        <w:spacing w:after="160" w:line="360" w:lineRule="auto"/>
        <w:jc w:val="both"/>
        <w:rPr>
          <w:rFonts w:ascii="Times New Roman" w:hAnsi="Times New Roman" w:cs="Times New Roman"/>
        </w:rPr>
      </w:pPr>
      <w:r>
        <w:rPr>
          <w:rFonts w:ascii="Times New Roman" w:hAnsi="Times New Roman" w:cs="Times New Roman"/>
        </w:rPr>
        <w:t>The seven zone types exhibited markedly different NDVI and NDWI signatures, reflecting their distinct ecological characteristics. Open Water recorded the highest (least negative) mean NDVI (−0.017), closely followed by the No Weed Infestation Control zone (−0.020). these values are closest to the theoretical water signature, confirming dominance by open water with minimal vegetation. Conversely, the Very High Variation Sudd Zone, Excessive Weed Infestation Hotspot and High Seasonal Infestation Variation zones exhibited the most negative mean NDVI values (−0.118, −0.109 and −0.108 respectively), indicating a stronger and more complex vegetation–water signal. In this dataset, zones with more negative mean NDVI tend to be those with denser vegetation or more complex water–vegetation mixtures, where the spectral signature is affected by turbidity, submerged vegetation and floating mats.</w:t>
      </w:r>
    </w:p>
    <w:p w14:paraId="60A44190" w14:textId="77777777" w:rsidR="00DB0109" w:rsidRPr="00414D2A" w:rsidRDefault="007B6AAF" w:rsidP="00A623D5">
      <w:pPr>
        <w:spacing w:after="160" w:line="360" w:lineRule="auto"/>
        <w:jc w:val="both"/>
        <w:rPr>
          <w:rFonts w:ascii="Times New Roman" w:hAnsi="Times New Roman" w:cs="Times New Roman"/>
        </w:rPr>
      </w:pPr>
      <w:r>
        <w:rPr>
          <w:rFonts w:ascii="Times New Roman" w:hAnsi="Times New Roman" w:cs="Times New Roman"/>
        </w:rPr>
        <w:lastRenderedPageBreak/>
        <w:t xml:space="preserve">This ordering merits comment, because it runs counter to the pattern normally reported in the remote-sensing literature. Dense floating macrophytes such as water hyacinth typically return strongly positive NDVI and correspondingly negative NDWI, and results of that form have been reported for the </w:t>
      </w:r>
      <w:proofErr w:type="spellStart"/>
      <w:r>
        <w:rPr>
          <w:rFonts w:ascii="Times New Roman" w:hAnsi="Times New Roman" w:cs="Times New Roman"/>
        </w:rPr>
        <w:t>Winam</w:t>
      </w:r>
      <w:proofErr w:type="spellEnd"/>
      <w:r>
        <w:rPr>
          <w:rFonts w:ascii="Times New Roman" w:hAnsi="Times New Roman" w:cs="Times New Roman"/>
        </w:rPr>
        <w:t xml:space="preserve"> Gulf of Lake Victoria (</w:t>
      </w:r>
      <w:proofErr w:type="spellStart"/>
      <w:r>
        <w:rPr>
          <w:rFonts w:ascii="Times New Roman" w:hAnsi="Times New Roman" w:cs="Times New Roman"/>
        </w:rPr>
        <w:t>Nyawacha</w:t>
      </w:r>
      <w:proofErr w:type="spellEnd"/>
      <w:r>
        <w:rPr>
          <w:rFonts w:ascii="Times New Roman" w:hAnsi="Times New Roman" w:cs="Times New Roman"/>
        </w:rPr>
        <w:t xml:space="preserve"> et al., 2021), for the Kagera basin (Albright et al., 2004), for Lake Tana (</w:t>
      </w:r>
      <w:proofErr w:type="spellStart"/>
      <w:r>
        <w:rPr>
          <w:rFonts w:ascii="Times New Roman" w:hAnsi="Times New Roman" w:cs="Times New Roman"/>
        </w:rPr>
        <w:t>Belayhun</w:t>
      </w:r>
      <w:proofErr w:type="spellEnd"/>
      <w:r>
        <w:rPr>
          <w:rFonts w:ascii="Times New Roman" w:hAnsi="Times New Roman" w:cs="Times New Roman"/>
        </w:rPr>
        <w:t xml:space="preserve"> et al., 2024), for the Tigris in Wasit province (Al-lami et al., 2021) and for Lakes </w:t>
      </w:r>
      <w:proofErr w:type="spellStart"/>
      <w:r>
        <w:rPr>
          <w:rFonts w:ascii="Times New Roman" w:hAnsi="Times New Roman" w:cs="Times New Roman"/>
        </w:rPr>
        <w:t>Chivero</w:t>
      </w:r>
      <w:proofErr w:type="spellEnd"/>
      <w:r>
        <w:rPr>
          <w:rFonts w:ascii="Times New Roman" w:hAnsi="Times New Roman" w:cs="Times New Roman"/>
        </w:rPr>
        <w:t xml:space="preserve"> and Manyame (</w:t>
      </w:r>
      <w:proofErr w:type="spellStart"/>
      <w:r>
        <w:rPr>
          <w:rFonts w:ascii="Times New Roman" w:hAnsi="Times New Roman" w:cs="Times New Roman"/>
        </w:rPr>
        <w:t>Shekede</w:t>
      </w:r>
      <w:proofErr w:type="spellEnd"/>
      <w:r>
        <w:rPr>
          <w:rFonts w:ascii="Times New Roman" w:hAnsi="Times New Roman" w:cs="Times New Roman"/>
        </w:rPr>
        <w:t xml:space="preserve"> et al., 2023). On Lake Wamala the opposite is observed at zone level: the three zones carrying the heaviest infestation labels returned the most negative mean NDVI (−0.108 to −0.118) and the highest mean NDWI (0.244 to 0.254), which is the most water-like signature in the entire dataset, while the only positive regional mean NDVI was recorded in the Southern region (0.012). The zone-level result is therefore not what the general literature would predict, and it requires explanation rather than restatement.</w:t>
      </w:r>
    </w:p>
    <w:p w14:paraId="18741259" w14:textId="77777777" w:rsidR="00DB0109" w:rsidRPr="00414D2A" w:rsidRDefault="007B6AAF" w:rsidP="00A623D5">
      <w:pPr>
        <w:spacing w:after="160" w:line="360" w:lineRule="auto"/>
        <w:jc w:val="both"/>
        <w:rPr>
          <w:rFonts w:ascii="Times New Roman" w:hAnsi="Times New Roman" w:cs="Times New Roman"/>
        </w:rPr>
      </w:pPr>
      <w:r>
        <w:rPr>
          <w:rFonts w:ascii="Times New Roman" w:hAnsi="Times New Roman" w:cs="Times New Roman"/>
        </w:rPr>
        <w:t>Three factors plausibly account for it on Lake Wamala. First, the zone labels are management designations assigned in advance from local and expert knowledge of where weeds have historically been troublesome; they are not measurements of current cover, so a zone named as an infestation hotspot need not be infested at the moment of image capture. Second, at the 10 m resolution of Sentinel-2 a single pixel over a fringing weed bed on a shallow lake commonly mixes emergent leaves, floating mat, inter-plant water and suspended sediment. Because water absorbs almost all near-infrared radiation, even a modest water fraction within the pixel pulls the computed NDVI sharply downward, so the value reports the mixture rather than the vegetation within it (Silva et al., 2008). Third, these three zones are among the shallowest and most sediment-laden parts of the lake, and the 2020–2023 high-water period that dominates the middle of the study series would have submerged much of their vegetation; submerged macrophytes are not detectable by surface indices at all (Malthus &amp; George, 1997; Oyama et al., 2015), so such zones read spectrally as water.</w:t>
      </w:r>
    </w:p>
    <w:p w14:paraId="37F09C6D" w14:textId="77777777" w:rsidR="00DB0109" w:rsidRPr="00414D2A"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The dispersion statistics in Table 4 support this reading. The three infestation-labelled zones have the lowest standard deviations in the dataset (0.037 to 0.059, against 0.198 to 0.229 for Open Water), which indicates that they are spectrally uniform because a single water-dominated mixed signature prevails across them, not because they are uniformly vegetated. Two consequences follow. The existing zonation of Lake Wamala is not corroborated by the spectral evidence and should be revisited against field data, a point returned to in Section 5.3; and the naming convention </w:t>
      </w:r>
      <w:r>
        <w:rPr>
          <w:rFonts w:ascii="Times New Roman" w:hAnsi="Times New Roman" w:cs="Times New Roman"/>
        </w:rPr>
        <w:lastRenderedPageBreak/>
        <w:t>is itself a source of confusion, since a label such as “High Seasonal Infestation Variation” describes expected variability in infestation rather than a currently high level of it. Throughout this chapter the zone names should be read as management categories, not as measured outcomes.</w:t>
      </w:r>
    </w:p>
    <w:p w14:paraId="24ADCF00" w14:textId="77777777" w:rsidR="00611175" w:rsidRPr="00352C77" w:rsidRDefault="007B6AAF" w:rsidP="00A623D5">
      <w:pPr>
        <w:keepNext/>
        <w:spacing w:before="120" w:after="40" w:line="360" w:lineRule="auto"/>
        <w:jc w:val="center"/>
        <w:rPr>
          <w:rFonts w:ascii="Times New Roman" w:hAnsi="Times New Roman" w:cs="Times New Roman"/>
        </w:rPr>
      </w:pPr>
      <w:r>
        <w:rPr>
          <w:rFonts w:ascii="Times New Roman" w:hAnsi="Times New Roman" w:cs="Times New Roman"/>
          <w:noProof/>
        </w:rPr>
        <w:drawing>
          <wp:inline distT="0" distB="0" distL="0" distR="0" wp14:anchorId="640A4C94" wp14:editId="7A28C159">
            <wp:extent cx="5771578" cy="2832100"/>
            <wp:effectExtent l="0" t="0" r="635" b="6350"/>
            <wp:docPr id="1" name="Figure 4: Mean NDVI and NDWI by zone type (Lake Wamala)" descr="Figure 4: Mean NDVI and NDWI by zone type (Lake Wamala)" title="Figure 4: Mean NDVI and NDWI by zone type (Lake Wam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5786971" cy="2839653"/>
                    </a:xfrm>
                    <a:prstGeom prst="rect">
                      <a:avLst/>
                    </a:prstGeom>
                  </pic:spPr>
                </pic:pic>
              </a:graphicData>
            </a:graphic>
          </wp:inline>
        </w:drawing>
      </w:r>
    </w:p>
    <w:p w14:paraId="3AEAFED4" w14:textId="5BAD02B6" w:rsidR="00DB0109" w:rsidRPr="00352C77" w:rsidRDefault="00611175" w:rsidP="00A623D5">
      <w:pPr>
        <w:pStyle w:val="Caption"/>
        <w:jc w:val="center"/>
        <w:rPr>
          <w:rFonts w:ascii="Times New Roman" w:hAnsi="Times New Roman" w:cs="Times New Roman"/>
        </w:rPr>
      </w:pPr>
      <w:bookmarkStart w:id="111" w:name="_Toc237884365"/>
      <w:r>
        <w:rPr>
          <w:rFonts w:ascii="Times New Roman" w:hAnsi="Times New Roman" w:cs="Times New Roman"/>
        </w:rPr>
        <w:t xml:space="preserve">Figure </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402E51">
        <w:rPr>
          <w:rFonts w:ascii="Times New Roman" w:hAnsi="Times New Roman" w:cs="Times New Roman"/>
          <w:noProof/>
        </w:rPr>
        <w:t>4</w:t>
      </w:r>
      <w:r>
        <w:rPr>
          <w:rFonts w:ascii="Times New Roman" w:hAnsi="Times New Roman" w:cs="Times New Roman"/>
        </w:rPr>
        <w:fldChar w:fldCharType="end"/>
      </w:r>
      <w:r>
        <w:rPr>
          <w:rFonts w:ascii="Times New Roman" w:hAnsi="Times New Roman" w:cs="Times New Roman"/>
        </w:rPr>
        <w:t>: Mean NDVI and NDWI by zone type (Lake Wamala)</w:t>
      </w:r>
      <w:bookmarkEnd w:id="111"/>
    </w:p>
    <w:p w14:paraId="643EDDF6"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Figure 4 illustrates the complementary pattern between the two indices: zones with higher (less negative) NDVI tend to have lower NDWI, and vice versa. This inverse relationship is consistent with the theoretical expectation that NDVI and NDWI respond oppositely to vegetation and water abundance. The Open Water zone shows the highest NDVI and lowest NDWI, while the Very High Variation Sudd Zone shows the lowest NDVI and highest NDWI, indicating that the Sudd zone, with its characteristic floating vegetation and papyrus, has a distinctly different spectral signature from open water.</w:t>
      </w:r>
    </w:p>
    <w:p w14:paraId="5AD60321" w14:textId="77777777" w:rsidR="009658D1" w:rsidRPr="00076579" w:rsidRDefault="009658D1" w:rsidP="00A623D5">
      <w:pPr>
        <w:pStyle w:val="Caption"/>
        <w:keepNext/>
        <w:rPr>
          <w:rFonts w:ascii="Times New Roman" w:hAnsi="Times New Roman" w:cs="Times New Roman"/>
        </w:rPr>
      </w:pPr>
      <w:bookmarkStart w:id="112" w:name="_Toc237884352"/>
      <w:r>
        <w:rPr>
          <w:rFonts w:ascii="Times New Roman" w:hAnsi="Times New Roman" w:cs="Times New Roman"/>
        </w:rPr>
        <w:t xml:space="preserve">Table </w:t>
      </w:r>
      <w:r>
        <w:rPr>
          <w:rFonts w:ascii="Times New Roman" w:hAnsi="Times New Roman" w:cs="Times New Roman"/>
        </w:rPr>
        <w:fldChar w:fldCharType="begin"/>
      </w:r>
      <w:r>
        <w:rPr>
          <w:rFonts w:ascii="Times New Roman" w:hAnsi="Times New Roman" w:cs="Times New Roman"/>
        </w:rPr>
        <w:instrText xml:space="preserve"> SEQ Table \* ARABIC </w:instrText>
      </w:r>
      <w:r>
        <w:rPr>
          <w:rFonts w:ascii="Times New Roman" w:hAnsi="Times New Roman" w:cs="Times New Roman"/>
        </w:rPr>
        <w:fldChar w:fldCharType="separate"/>
      </w:r>
      <w:r>
        <w:rPr>
          <w:rFonts w:ascii="Times New Roman" w:hAnsi="Times New Roman" w:cs="Times New Roman"/>
          <w:noProof/>
        </w:rPr>
        <w:t>4</w:t>
      </w:r>
      <w:r>
        <w:rPr>
          <w:rFonts w:ascii="Times New Roman" w:hAnsi="Times New Roman" w:cs="Times New Roman"/>
        </w:rPr>
        <w:fldChar w:fldCharType="end"/>
      </w:r>
      <w:r>
        <w:rPr>
          <w:rFonts w:ascii="Times New Roman" w:hAnsi="Times New Roman" w:cs="Times New Roman"/>
        </w:rPr>
        <w:t>: NDVI and NDWI Statistics by Zone Type</w:t>
      </w:r>
      <w:bookmarkEnd w:id="112"/>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80"/>
        <w:gridCol w:w="1080"/>
        <w:gridCol w:w="1000"/>
        <w:gridCol w:w="1020"/>
        <w:gridCol w:w="1020"/>
        <w:gridCol w:w="1020"/>
        <w:gridCol w:w="1020"/>
        <w:gridCol w:w="920"/>
      </w:tblGrid>
      <w:tr w:rsidR="00BC1555" w14:paraId="2448C2ED" w14:textId="77777777" w:rsidTr="00F663D9">
        <w:trPr>
          <w:tblHeader/>
        </w:trPr>
        <w:tc>
          <w:tcPr>
            <w:tcW w:w="2280" w:type="dxa"/>
            <w:vMerge w:val="restart"/>
            <w:shd w:val="clear" w:color="auto" w:fill="2E6B5E"/>
            <w:tcMar>
              <w:top w:w="60" w:type="dxa"/>
              <w:left w:w="110" w:type="dxa"/>
              <w:bottom w:w="60" w:type="dxa"/>
              <w:right w:w="110" w:type="dxa"/>
            </w:tcMar>
            <w:vAlign w:val="center"/>
          </w:tcPr>
          <w:p w14:paraId="5F42DDE1" w14:textId="77777777" w:rsidR="00076579" w:rsidRPr="00352C77" w:rsidRDefault="00076579" w:rsidP="00A623D5">
            <w:pPr>
              <w:spacing w:line="360" w:lineRule="auto"/>
              <w:rPr>
                <w:rFonts w:ascii="Times New Roman" w:hAnsi="Times New Roman" w:cs="Times New Roman"/>
              </w:rPr>
            </w:pPr>
            <w:r>
              <w:rPr>
                <w:rFonts w:ascii="Times New Roman" w:hAnsi="Times New Roman" w:cs="Times New Roman"/>
                <w:b/>
                <w:bCs/>
                <w:color w:val="FFFFFF"/>
                <w:sz w:val="20"/>
                <w:szCs w:val="20"/>
              </w:rPr>
              <w:t>Zone Type</w:t>
            </w:r>
          </w:p>
        </w:tc>
        <w:tc>
          <w:tcPr>
            <w:tcW w:w="2080" w:type="dxa"/>
            <w:gridSpan w:val="4"/>
            <w:shd w:val="clear" w:color="auto" w:fill="2E6B5E"/>
            <w:tcMar>
              <w:top w:w="60" w:type="dxa"/>
              <w:left w:w="110" w:type="dxa"/>
              <w:bottom w:w="60" w:type="dxa"/>
              <w:right w:w="110" w:type="dxa"/>
            </w:tcMar>
            <w:vAlign w:val="center"/>
          </w:tcPr>
          <w:p w14:paraId="2346F93A" w14:textId="77777777" w:rsidR="00076579" w:rsidRPr="00352C77" w:rsidRDefault="00076579" w:rsidP="00A623D5">
            <w:pPr>
              <w:spacing w:line="360" w:lineRule="auto"/>
              <w:jc w:val="center"/>
              <w:rPr>
                <w:rFonts w:ascii="Times New Roman" w:hAnsi="Times New Roman" w:cs="Times New Roman"/>
              </w:rPr>
            </w:pPr>
            <w:r>
              <w:rPr>
                <w:rFonts w:ascii="Times New Roman" w:hAnsi="Times New Roman" w:cs="Times New Roman"/>
                <w:b/>
                <w:bCs/>
                <w:color w:val="FFFFFF"/>
                <w:sz w:val="20"/>
                <w:szCs w:val="20"/>
              </w:rPr>
              <w:t>NDVI</w:t>
            </w:r>
          </w:p>
        </w:tc>
        <w:tc>
          <w:tcPr>
            <w:tcW w:w="2040" w:type="dxa"/>
            <w:gridSpan w:val="2"/>
            <w:shd w:val="clear" w:color="auto" w:fill="2E6B5E"/>
            <w:tcMar>
              <w:top w:w="60" w:type="dxa"/>
              <w:left w:w="110" w:type="dxa"/>
              <w:bottom w:w="60" w:type="dxa"/>
              <w:right w:w="110" w:type="dxa"/>
            </w:tcMar>
            <w:vAlign w:val="center"/>
          </w:tcPr>
          <w:p w14:paraId="74D3DC8A" w14:textId="77777777" w:rsidR="00076579" w:rsidRPr="00352C77" w:rsidRDefault="00076579" w:rsidP="00A623D5">
            <w:pPr>
              <w:spacing w:line="360" w:lineRule="auto"/>
              <w:jc w:val="center"/>
              <w:rPr>
                <w:rFonts w:ascii="Times New Roman" w:hAnsi="Times New Roman" w:cs="Times New Roman"/>
              </w:rPr>
            </w:pPr>
            <w:r>
              <w:rPr>
                <w:rFonts w:ascii="Times New Roman" w:hAnsi="Times New Roman" w:cs="Times New Roman"/>
                <w:b/>
                <w:bCs/>
                <w:color w:val="FFFFFF"/>
                <w:sz w:val="20"/>
                <w:szCs w:val="20"/>
              </w:rPr>
              <w:t>NDWI</w:t>
            </w:r>
          </w:p>
        </w:tc>
        <w:tc>
          <w:tcPr>
            <w:tcW w:w="920" w:type="dxa"/>
            <w:vMerge w:val="restart"/>
            <w:shd w:val="clear" w:color="auto" w:fill="2E6B5E"/>
            <w:tcMar>
              <w:top w:w="60" w:type="dxa"/>
              <w:left w:w="110" w:type="dxa"/>
              <w:bottom w:w="60" w:type="dxa"/>
              <w:right w:w="110" w:type="dxa"/>
            </w:tcMar>
            <w:vAlign w:val="center"/>
          </w:tcPr>
          <w:p w14:paraId="7EC09C5B" w14:textId="77777777" w:rsidR="00076579" w:rsidRPr="00352C77" w:rsidRDefault="00076579" w:rsidP="00A623D5">
            <w:pPr>
              <w:spacing w:line="360" w:lineRule="auto"/>
              <w:jc w:val="center"/>
              <w:rPr>
                <w:rFonts w:ascii="Times New Roman" w:hAnsi="Times New Roman" w:cs="Times New Roman"/>
              </w:rPr>
            </w:pPr>
            <w:r>
              <w:rPr>
                <w:rFonts w:ascii="Times New Roman" w:hAnsi="Times New Roman" w:cs="Times New Roman"/>
                <w:b/>
                <w:bCs/>
                <w:color w:val="FFFFFF"/>
                <w:sz w:val="20"/>
                <w:szCs w:val="20"/>
              </w:rPr>
              <w:t>Pixel Count</w:t>
            </w:r>
          </w:p>
        </w:tc>
      </w:tr>
      <w:tr w:rsidR="00BC1555" w14:paraId="19B77D36" w14:textId="77777777">
        <w:trPr>
          <w:tblHeader/>
        </w:trPr>
        <w:tc>
          <w:tcPr>
            <w:tcW w:w="2280" w:type="dxa"/>
            <w:vMerge/>
            <w:shd w:val="clear" w:color="auto" w:fill="2E6B5E"/>
            <w:tcMar>
              <w:top w:w="60" w:type="dxa"/>
              <w:left w:w="110" w:type="dxa"/>
              <w:bottom w:w="60" w:type="dxa"/>
              <w:right w:w="110" w:type="dxa"/>
            </w:tcMar>
            <w:vAlign w:val="center"/>
          </w:tcPr>
          <w:p w14:paraId="029C2344" w14:textId="77777777" w:rsidR="00076579" w:rsidRDefault="00076579" w:rsidP="00A623D5">
            <w:pPr>
              <w:spacing w:line="360" w:lineRule="auto"/>
              <w:rPr>
                <w:rFonts w:ascii="Times New Roman" w:hAnsi="Times New Roman" w:cs="Times New Roman"/>
                <w:b/>
                <w:bCs/>
                <w:color w:val="FFFFFF"/>
                <w:sz w:val="20"/>
                <w:szCs w:val="20"/>
              </w:rPr>
            </w:pPr>
          </w:p>
        </w:tc>
        <w:tc>
          <w:tcPr>
            <w:tcW w:w="1080" w:type="dxa"/>
            <w:shd w:val="clear" w:color="auto" w:fill="2E6B5E"/>
            <w:tcMar>
              <w:top w:w="60" w:type="dxa"/>
              <w:left w:w="110" w:type="dxa"/>
              <w:bottom w:w="60" w:type="dxa"/>
              <w:right w:w="110" w:type="dxa"/>
            </w:tcMar>
            <w:vAlign w:val="center"/>
          </w:tcPr>
          <w:p w14:paraId="3B019868" w14:textId="77777777" w:rsidR="00076579" w:rsidRDefault="00076579" w:rsidP="00A623D5">
            <w:pPr>
              <w:spacing w:line="360" w:lineRule="auto"/>
              <w:jc w:val="center"/>
              <w:rPr>
                <w:rFonts w:ascii="Times New Roman" w:hAnsi="Times New Roman" w:cs="Times New Roman"/>
                <w:b/>
                <w:bCs/>
                <w:color w:val="FFFFFF"/>
                <w:sz w:val="20"/>
                <w:szCs w:val="20"/>
              </w:rPr>
            </w:pPr>
            <w:r>
              <w:rPr>
                <w:rFonts w:ascii="Times New Roman" w:hAnsi="Times New Roman" w:cs="Times New Roman"/>
                <w:b/>
                <w:bCs/>
                <w:color w:val="FFFFFF"/>
                <w:sz w:val="20"/>
                <w:szCs w:val="20"/>
              </w:rPr>
              <w:t>Mean</w:t>
            </w:r>
          </w:p>
        </w:tc>
        <w:tc>
          <w:tcPr>
            <w:tcW w:w="1000" w:type="dxa"/>
            <w:shd w:val="clear" w:color="auto" w:fill="2E6B5E"/>
            <w:tcMar>
              <w:top w:w="60" w:type="dxa"/>
              <w:left w:w="110" w:type="dxa"/>
              <w:bottom w:w="60" w:type="dxa"/>
              <w:right w:w="110" w:type="dxa"/>
            </w:tcMar>
            <w:vAlign w:val="center"/>
          </w:tcPr>
          <w:p w14:paraId="4740AA2C" w14:textId="77777777" w:rsidR="00076579" w:rsidRDefault="00076579" w:rsidP="00A623D5">
            <w:pPr>
              <w:spacing w:line="360" w:lineRule="auto"/>
              <w:jc w:val="center"/>
              <w:rPr>
                <w:rFonts w:ascii="Times New Roman" w:hAnsi="Times New Roman" w:cs="Times New Roman"/>
                <w:b/>
                <w:bCs/>
                <w:color w:val="FFFFFF"/>
                <w:sz w:val="20"/>
                <w:szCs w:val="20"/>
              </w:rPr>
            </w:pPr>
            <w:r>
              <w:rPr>
                <w:rFonts w:ascii="Times New Roman" w:hAnsi="Times New Roman" w:cs="Times New Roman"/>
                <w:b/>
                <w:bCs/>
                <w:color w:val="FFFFFF"/>
                <w:sz w:val="20"/>
                <w:szCs w:val="20"/>
              </w:rPr>
              <w:t>SD</w:t>
            </w:r>
          </w:p>
        </w:tc>
        <w:tc>
          <w:tcPr>
            <w:tcW w:w="1020" w:type="dxa"/>
            <w:shd w:val="clear" w:color="auto" w:fill="2E6B5E"/>
            <w:tcMar>
              <w:top w:w="60" w:type="dxa"/>
              <w:left w:w="110" w:type="dxa"/>
              <w:bottom w:w="60" w:type="dxa"/>
              <w:right w:w="110" w:type="dxa"/>
            </w:tcMar>
            <w:vAlign w:val="center"/>
          </w:tcPr>
          <w:p w14:paraId="16CD230B" w14:textId="77777777" w:rsidR="00076579" w:rsidRDefault="00076579" w:rsidP="00A623D5">
            <w:pPr>
              <w:spacing w:line="360" w:lineRule="auto"/>
              <w:jc w:val="center"/>
              <w:rPr>
                <w:rFonts w:ascii="Times New Roman" w:hAnsi="Times New Roman" w:cs="Times New Roman"/>
                <w:b/>
                <w:bCs/>
                <w:color w:val="FFFFFF"/>
                <w:sz w:val="20"/>
                <w:szCs w:val="20"/>
              </w:rPr>
            </w:pPr>
            <w:r>
              <w:rPr>
                <w:rFonts w:ascii="Times New Roman" w:hAnsi="Times New Roman" w:cs="Times New Roman"/>
                <w:b/>
                <w:bCs/>
                <w:color w:val="FFFFFF"/>
                <w:sz w:val="20"/>
                <w:szCs w:val="20"/>
              </w:rPr>
              <w:t>Min</w:t>
            </w:r>
          </w:p>
        </w:tc>
        <w:tc>
          <w:tcPr>
            <w:tcW w:w="1020" w:type="dxa"/>
            <w:shd w:val="clear" w:color="auto" w:fill="2E6B5E"/>
            <w:tcMar>
              <w:top w:w="60" w:type="dxa"/>
              <w:left w:w="110" w:type="dxa"/>
              <w:bottom w:w="60" w:type="dxa"/>
              <w:right w:w="110" w:type="dxa"/>
            </w:tcMar>
            <w:vAlign w:val="center"/>
          </w:tcPr>
          <w:p w14:paraId="56C6144B" w14:textId="77777777" w:rsidR="00076579" w:rsidRDefault="00076579" w:rsidP="00A623D5">
            <w:pPr>
              <w:spacing w:line="360" w:lineRule="auto"/>
              <w:jc w:val="center"/>
              <w:rPr>
                <w:rFonts w:ascii="Times New Roman" w:hAnsi="Times New Roman" w:cs="Times New Roman"/>
                <w:b/>
                <w:bCs/>
                <w:color w:val="FFFFFF"/>
                <w:sz w:val="20"/>
                <w:szCs w:val="20"/>
              </w:rPr>
            </w:pPr>
            <w:r>
              <w:rPr>
                <w:rFonts w:ascii="Times New Roman" w:hAnsi="Times New Roman" w:cs="Times New Roman"/>
                <w:b/>
                <w:bCs/>
                <w:color w:val="FFFFFF"/>
                <w:sz w:val="20"/>
                <w:szCs w:val="20"/>
              </w:rPr>
              <w:t>Max</w:t>
            </w:r>
          </w:p>
        </w:tc>
        <w:tc>
          <w:tcPr>
            <w:tcW w:w="1020" w:type="dxa"/>
            <w:shd w:val="clear" w:color="auto" w:fill="2E6B5E"/>
            <w:tcMar>
              <w:top w:w="60" w:type="dxa"/>
              <w:left w:w="110" w:type="dxa"/>
              <w:bottom w:w="60" w:type="dxa"/>
              <w:right w:w="110" w:type="dxa"/>
            </w:tcMar>
            <w:vAlign w:val="center"/>
          </w:tcPr>
          <w:p w14:paraId="08055D09" w14:textId="77777777" w:rsidR="00076579" w:rsidRDefault="00076579" w:rsidP="00A623D5">
            <w:pPr>
              <w:spacing w:line="360" w:lineRule="auto"/>
              <w:jc w:val="center"/>
              <w:rPr>
                <w:rFonts w:ascii="Times New Roman" w:hAnsi="Times New Roman" w:cs="Times New Roman"/>
                <w:b/>
                <w:bCs/>
                <w:color w:val="FFFFFF"/>
                <w:sz w:val="20"/>
                <w:szCs w:val="20"/>
              </w:rPr>
            </w:pPr>
            <w:r>
              <w:rPr>
                <w:rFonts w:ascii="Times New Roman" w:hAnsi="Times New Roman" w:cs="Times New Roman"/>
                <w:b/>
                <w:bCs/>
                <w:color w:val="FFFFFF"/>
                <w:sz w:val="20"/>
                <w:szCs w:val="20"/>
              </w:rPr>
              <w:t>Mean</w:t>
            </w:r>
          </w:p>
        </w:tc>
        <w:tc>
          <w:tcPr>
            <w:tcW w:w="1020" w:type="dxa"/>
            <w:shd w:val="clear" w:color="auto" w:fill="2E6B5E"/>
            <w:tcMar>
              <w:top w:w="60" w:type="dxa"/>
              <w:left w:w="110" w:type="dxa"/>
              <w:bottom w:w="60" w:type="dxa"/>
              <w:right w:w="110" w:type="dxa"/>
            </w:tcMar>
            <w:vAlign w:val="center"/>
          </w:tcPr>
          <w:p w14:paraId="50CEE94D" w14:textId="77777777" w:rsidR="00076579" w:rsidRDefault="00076579" w:rsidP="00A623D5">
            <w:pPr>
              <w:spacing w:line="360" w:lineRule="auto"/>
              <w:jc w:val="center"/>
              <w:rPr>
                <w:rFonts w:ascii="Times New Roman" w:hAnsi="Times New Roman" w:cs="Times New Roman"/>
                <w:b/>
                <w:bCs/>
                <w:color w:val="FFFFFF"/>
                <w:sz w:val="20"/>
                <w:szCs w:val="20"/>
              </w:rPr>
            </w:pPr>
            <w:r>
              <w:rPr>
                <w:rFonts w:ascii="Times New Roman" w:hAnsi="Times New Roman" w:cs="Times New Roman"/>
                <w:b/>
                <w:bCs/>
                <w:color w:val="FFFFFF"/>
                <w:sz w:val="20"/>
                <w:szCs w:val="20"/>
              </w:rPr>
              <w:t>SD</w:t>
            </w:r>
          </w:p>
        </w:tc>
        <w:tc>
          <w:tcPr>
            <w:tcW w:w="920" w:type="dxa"/>
            <w:vMerge/>
            <w:shd w:val="clear" w:color="auto" w:fill="2E6B5E"/>
            <w:tcMar>
              <w:top w:w="60" w:type="dxa"/>
              <w:left w:w="110" w:type="dxa"/>
              <w:bottom w:w="60" w:type="dxa"/>
              <w:right w:w="110" w:type="dxa"/>
            </w:tcMar>
            <w:vAlign w:val="center"/>
          </w:tcPr>
          <w:p w14:paraId="2CD9104E" w14:textId="77777777" w:rsidR="00076579" w:rsidRDefault="00076579" w:rsidP="00A623D5">
            <w:pPr>
              <w:spacing w:line="360" w:lineRule="auto"/>
              <w:jc w:val="center"/>
              <w:rPr>
                <w:rFonts w:ascii="Times New Roman" w:hAnsi="Times New Roman" w:cs="Times New Roman"/>
                <w:b/>
                <w:bCs/>
                <w:color w:val="FFFFFF"/>
                <w:sz w:val="20"/>
                <w:szCs w:val="20"/>
              </w:rPr>
            </w:pPr>
          </w:p>
        </w:tc>
      </w:tr>
      <w:tr w:rsidR="00BC1555" w14:paraId="73598B8B" w14:textId="77777777">
        <w:tc>
          <w:tcPr>
            <w:tcW w:w="2280" w:type="dxa"/>
            <w:tcMar>
              <w:top w:w="60" w:type="dxa"/>
              <w:left w:w="110" w:type="dxa"/>
              <w:bottom w:w="60" w:type="dxa"/>
              <w:right w:w="110" w:type="dxa"/>
            </w:tcMar>
            <w:vAlign w:val="center"/>
          </w:tcPr>
          <w:p w14:paraId="7E6F6540"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Open Water</w:t>
            </w:r>
          </w:p>
        </w:tc>
        <w:tc>
          <w:tcPr>
            <w:tcW w:w="1080" w:type="dxa"/>
            <w:tcMar>
              <w:top w:w="60" w:type="dxa"/>
              <w:left w:w="110" w:type="dxa"/>
              <w:bottom w:w="60" w:type="dxa"/>
              <w:right w:w="110" w:type="dxa"/>
            </w:tcMar>
            <w:vAlign w:val="center"/>
          </w:tcPr>
          <w:p w14:paraId="128C3BF1"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−0.017</w:t>
            </w:r>
          </w:p>
        </w:tc>
        <w:tc>
          <w:tcPr>
            <w:tcW w:w="1000" w:type="dxa"/>
            <w:tcMar>
              <w:top w:w="60" w:type="dxa"/>
              <w:left w:w="110" w:type="dxa"/>
              <w:bottom w:w="60" w:type="dxa"/>
              <w:right w:w="110" w:type="dxa"/>
            </w:tcMar>
            <w:vAlign w:val="center"/>
          </w:tcPr>
          <w:p w14:paraId="28E45169"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0.229</w:t>
            </w:r>
          </w:p>
        </w:tc>
        <w:tc>
          <w:tcPr>
            <w:tcW w:w="1020" w:type="dxa"/>
            <w:tcMar>
              <w:top w:w="60" w:type="dxa"/>
              <w:left w:w="110" w:type="dxa"/>
              <w:bottom w:w="60" w:type="dxa"/>
              <w:right w:w="110" w:type="dxa"/>
            </w:tcMar>
            <w:vAlign w:val="center"/>
          </w:tcPr>
          <w:p w14:paraId="5A140036"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−0.218</w:t>
            </w:r>
          </w:p>
        </w:tc>
        <w:tc>
          <w:tcPr>
            <w:tcW w:w="1020" w:type="dxa"/>
            <w:tcMar>
              <w:top w:w="60" w:type="dxa"/>
              <w:left w:w="110" w:type="dxa"/>
              <w:bottom w:w="60" w:type="dxa"/>
              <w:right w:w="110" w:type="dxa"/>
            </w:tcMar>
            <w:vAlign w:val="center"/>
          </w:tcPr>
          <w:p w14:paraId="4C58F401"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0.847</w:t>
            </w:r>
          </w:p>
        </w:tc>
        <w:tc>
          <w:tcPr>
            <w:tcW w:w="1020" w:type="dxa"/>
            <w:tcMar>
              <w:top w:w="60" w:type="dxa"/>
              <w:left w:w="110" w:type="dxa"/>
              <w:bottom w:w="60" w:type="dxa"/>
              <w:right w:w="110" w:type="dxa"/>
            </w:tcMar>
            <w:vAlign w:val="center"/>
          </w:tcPr>
          <w:p w14:paraId="0B95A2C8"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0.142</w:t>
            </w:r>
          </w:p>
        </w:tc>
        <w:tc>
          <w:tcPr>
            <w:tcW w:w="1020" w:type="dxa"/>
            <w:tcMar>
              <w:top w:w="60" w:type="dxa"/>
              <w:left w:w="110" w:type="dxa"/>
              <w:bottom w:w="60" w:type="dxa"/>
              <w:right w:w="110" w:type="dxa"/>
            </w:tcMar>
            <w:vAlign w:val="center"/>
          </w:tcPr>
          <w:p w14:paraId="06929306"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0.246</w:t>
            </w:r>
          </w:p>
        </w:tc>
        <w:tc>
          <w:tcPr>
            <w:tcW w:w="920" w:type="dxa"/>
            <w:tcMar>
              <w:top w:w="60" w:type="dxa"/>
              <w:left w:w="110" w:type="dxa"/>
              <w:bottom w:w="60" w:type="dxa"/>
              <w:right w:w="110" w:type="dxa"/>
            </w:tcMar>
            <w:vAlign w:val="center"/>
          </w:tcPr>
          <w:p w14:paraId="401F01C8"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5,530</w:t>
            </w:r>
          </w:p>
        </w:tc>
      </w:tr>
      <w:tr w:rsidR="00BC1555" w14:paraId="5BAEE49A" w14:textId="77777777">
        <w:tc>
          <w:tcPr>
            <w:tcW w:w="2280" w:type="dxa"/>
            <w:shd w:val="clear" w:color="auto" w:fill="EEF4F2"/>
            <w:tcMar>
              <w:top w:w="60" w:type="dxa"/>
              <w:left w:w="110" w:type="dxa"/>
              <w:bottom w:w="60" w:type="dxa"/>
              <w:right w:w="110" w:type="dxa"/>
            </w:tcMar>
            <w:vAlign w:val="center"/>
          </w:tcPr>
          <w:p w14:paraId="4D204D24"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No Weed Infestation Control</w:t>
            </w:r>
          </w:p>
        </w:tc>
        <w:tc>
          <w:tcPr>
            <w:tcW w:w="1080" w:type="dxa"/>
            <w:shd w:val="clear" w:color="auto" w:fill="EEF4F2"/>
            <w:tcMar>
              <w:top w:w="60" w:type="dxa"/>
              <w:left w:w="110" w:type="dxa"/>
              <w:bottom w:w="60" w:type="dxa"/>
              <w:right w:w="110" w:type="dxa"/>
            </w:tcMar>
            <w:vAlign w:val="center"/>
          </w:tcPr>
          <w:p w14:paraId="6B3C31EC"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−0.020</w:t>
            </w:r>
          </w:p>
        </w:tc>
        <w:tc>
          <w:tcPr>
            <w:tcW w:w="1000" w:type="dxa"/>
            <w:shd w:val="clear" w:color="auto" w:fill="EEF4F2"/>
            <w:tcMar>
              <w:top w:w="60" w:type="dxa"/>
              <w:left w:w="110" w:type="dxa"/>
              <w:bottom w:w="60" w:type="dxa"/>
              <w:right w:w="110" w:type="dxa"/>
            </w:tcMar>
            <w:vAlign w:val="center"/>
          </w:tcPr>
          <w:p w14:paraId="7F5419D9"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0.198</w:t>
            </w:r>
          </w:p>
        </w:tc>
        <w:tc>
          <w:tcPr>
            <w:tcW w:w="1020" w:type="dxa"/>
            <w:shd w:val="clear" w:color="auto" w:fill="EEF4F2"/>
            <w:tcMar>
              <w:top w:w="60" w:type="dxa"/>
              <w:left w:w="110" w:type="dxa"/>
              <w:bottom w:w="60" w:type="dxa"/>
              <w:right w:w="110" w:type="dxa"/>
            </w:tcMar>
            <w:vAlign w:val="center"/>
          </w:tcPr>
          <w:p w14:paraId="5870A86B"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−0.180</w:t>
            </w:r>
          </w:p>
        </w:tc>
        <w:tc>
          <w:tcPr>
            <w:tcW w:w="1020" w:type="dxa"/>
            <w:shd w:val="clear" w:color="auto" w:fill="EEF4F2"/>
            <w:tcMar>
              <w:top w:w="60" w:type="dxa"/>
              <w:left w:w="110" w:type="dxa"/>
              <w:bottom w:w="60" w:type="dxa"/>
              <w:right w:w="110" w:type="dxa"/>
            </w:tcMar>
            <w:vAlign w:val="center"/>
          </w:tcPr>
          <w:p w14:paraId="74FA042F"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0.725</w:t>
            </w:r>
          </w:p>
        </w:tc>
        <w:tc>
          <w:tcPr>
            <w:tcW w:w="1020" w:type="dxa"/>
            <w:shd w:val="clear" w:color="auto" w:fill="EEF4F2"/>
            <w:tcMar>
              <w:top w:w="60" w:type="dxa"/>
              <w:left w:w="110" w:type="dxa"/>
              <w:bottom w:w="60" w:type="dxa"/>
              <w:right w:w="110" w:type="dxa"/>
            </w:tcMar>
            <w:vAlign w:val="center"/>
          </w:tcPr>
          <w:p w14:paraId="367F6DD2"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0.154</w:t>
            </w:r>
          </w:p>
        </w:tc>
        <w:tc>
          <w:tcPr>
            <w:tcW w:w="1020" w:type="dxa"/>
            <w:shd w:val="clear" w:color="auto" w:fill="EEF4F2"/>
            <w:tcMar>
              <w:top w:w="60" w:type="dxa"/>
              <w:left w:w="110" w:type="dxa"/>
              <w:bottom w:w="60" w:type="dxa"/>
              <w:right w:w="110" w:type="dxa"/>
            </w:tcMar>
            <w:vAlign w:val="center"/>
          </w:tcPr>
          <w:p w14:paraId="51A4D6BF"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0.229</w:t>
            </w:r>
          </w:p>
        </w:tc>
        <w:tc>
          <w:tcPr>
            <w:tcW w:w="920" w:type="dxa"/>
            <w:shd w:val="clear" w:color="auto" w:fill="EEF4F2"/>
            <w:tcMar>
              <w:top w:w="60" w:type="dxa"/>
              <w:left w:w="110" w:type="dxa"/>
              <w:bottom w:w="60" w:type="dxa"/>
              <w:right w:w="110" w:type="dxa"/>
            </w:tcMar>
            <w:vAlign w:val="center"/>
          </w:tcPr>
          <w:p w14:paraId="3BCF45D6"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2,156</w:t>
            </w:r>
          </w:p>
        </w:tc>
      </w:tr>
      <w:tr w:rsidR="00BC1555" w14:paraId="079CF90F" w14:textId="77777777">
        <w:tc>
          <w:tcPr>
            <w:tcW w:w="2280" w:type="dxa"/>
            <w:tcMar>
              <w:top w:w="60" w:type="dxa"/>
              <w:left w:w="110" w:type="dxa"/>
              <w:bottom w:w="60" w:type="dxa"/>
              <w:right w:w="110" w:type="dxa"/>
            </w:tcMar>
            <w:vAlign w:val="center"/>
          </w:tcPr>
          <w:p w14:paraId="1D356418"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Transitional</w:t>
            </w:r>
          </w:p>
        </w:tc>
        <w:tc>
          <w:tcPr>
            <w:tcW w:w="1080" w:type="dxa"/>
            <w:tcMar>
              <w:top w:w="60" w:type="dxa"/>
              <w:left w:w="110" w:type="dxa"/>
              <w:bottom w:w="60" w:type="dxa"/>
              <w:right w:w="110" w:type="dxa"/>
            </w:tcMar>
            <w:vAlign w:val="center"/>
          </w:tcPr>
          <w:p w14:paraId="244DB746"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−0.069</w:t>
            </w:r>
          </w:p>
        </w:tc>
        <w:tc>
          <w:tcPr>
            <w:tcW w:w="1000" w:type="dxa"/>
            <w:tcMar>
              <w:top w:w="60" w:type="dxa"/>
              <w:left w:w="110" w:type="dxa"/>
              <w:bottom w:w="60" w:type="dxa"/>
              <w:right w:w="110" w:type="dxa"/>
            </w:tcMar>
            <w:vAlign w:val="center"/>
          </w:tcPr>
          <w:p w14:paraId="547CC801"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0.120</w:t>
            </w:r>
          </w:p>
        </w:tc>
        <w:tc>
          <w:tcPr>
            <w:tcW w:w="1020" w:type="dxa"/>
            <w:tcMar>
              <w:top w:w="60" w:type="dxa"/>
              <w:left w:w="110" w:type="dxa"/>
              <w:bottom w:w="60" w:type="dxa"/>
              <w:right w:w="110" w:type="dxa"/>
            </w:tcMar>
            <w:vAlign w:val="center"/>
          </w:tcPr>
          <w:p w14:paraId="5211A475"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−0.194</w:t>
            </w:r>
          </w:p>
        </w:tc>
        <w:tc>
          <w:tcPr>
            <w:tcW w:w="1020" w:type="dxa"/>
            <w:tcMar>
              <w:top w:w="60" w:type="dxa"/>
              <w:left w:w="110" w:type="dxa"/>
              <w:bottom w:w="60" w:type="dxa"/>
              <w:right w:w="110" w:type="dxa"/>
            </w:tcMar>
            <w:vAlign w:val="center"/>
          </w:tcPr>
          <w:p w14:paraId="09DEEB08"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0.655</w:t>
            </w:r>
          </w:p>
        </w:tc>
        <w:tc>
          <w:tcPr>
            <w:tcW w:w="1020" w:type="dxa"/>
            <w:tcMar>
              <w:top w:w="60" w:type="dxa"/>
              <w:left w:w="110" w:type="dxa"/>
              <w:bottom w:w="60" w:type="dxa"/>
              <w:right w:w="110" w:type="dxa"/>
            </w:tcMar>
            <w:vAlign w:val="center"/>
          </w:tcPr>
          <w:p w14:paraId="47EB532B"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0.200</w:t>
            </w:r>
          </w:p>
        </w:tc>
        <w:tc>
          <w:tcPr>
            <w:tcW w:w="1020" w:type="dxa"/>
            <w:tcMar>
              <w:top w:w="60" w:type="dxa"/>
              <w:left w:w="110" w:type="dxa"/>
              <w:bottom w:w="60" w:type="dxa"/>
              <w:right w:w="110" w:type="dxa"/>
            </w:tcMar>
            <w:vAlign w:val="center"/>
          </w:tcPr>
          <w:p w14:paraId="29E27A7B"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0.138</w:t>
            </w:r>
          </w:p>
        </w:tc>
        <w:tc>
          <w:tcPr>
            <w:tcW w:w="920" w:type="dxa"/>
            <w:tcMar>
              <w:top w:w="60" w:type="dxa"/>
              <w:left w:w="110" w:type="dxa"/>
              <w:bottom w:w="60" w:type="dxa"/>
              <w:right w:w="110" w:type="dxa"/>
            </w:tcMar>
            <w:vAlign w:val="center"/>
          </w:tcPr>
          <w:p w14:paraId="70817CB3"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6,349</w:t>
            </w:r>
          </w:p>
        </w:tc>
      </w:tr>
      <w:tr w:rsidR="00BC1555" w14:paraId="4E288F0D" w14:textId="77777777">
        <w:tc>
          <w:tcPr>
            <w:tcW w:w="2280" w:type="dxa"/>
            <w:shd w:val="clear" w:color="auto" w:fill="EEF4F2"/>
            <w:tcMar>
              <w:top w:w="60" w:type="dxa"/>
              <w:left w:w="110" w:type="dxa"/>
              <w:bottom w:w="60" w:type="dxa"/>
              <w:right w:w="110" w:type="dxa"/>
            </w:tcMar>
            <w:vAlign w:val="center"/>
          </w:tcPr>
          <w:p w14:paraId="512D2D9A"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lastRenderedPageBreak/>
              <w:t>Near Shore</w:t>
            </w:r>
          </w:p>
        </w:tc>
        <w:tc>
          <w:tcPr>
            <w:tcW w:w="1080" w:type="dxa"/>
            <w:shd w:val="clear" w:color="auto" w:fill="EEF4F2"/>
            <w:tcMar>
              <w:top w:w="60" w:type="dxa"/>
              <w:left w:w="110" w:type="dxa"/>
              <w:bottom w:w="60" w:type="dxa"/>
              <w:right w:w="110" w:type="dxa"/>
            </w:tcMar>
            <w:vAlign w:val="center"/>
          </w:tcPr>
          <w:p w14:paraId="4D3B3F84"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−0.089</w:t>
            </w:r>
          </w:p>
        </w:tc>
        <w:tc>
          <w:tcPr>
            <w:tcW w:w="1000" w:type="dxa"/>
            <w:shd w:val="clear" w:color="auto" w:fill="EEF4F2"/>
            <w:tcMar>
              <w:top w:w="60" w:type="dxa"/>
              <w:left w:w="110" w:type="dxa"/>
              <w:bottom w:w="60" w:type="dxa"/>
              <w:right w:w="110" w:type="dxa"/>
            </w:tcMar>
            <w:vAlign w:val="center"/>
          </w:tcPr>
          <w:p w14:paraId="75008B3C"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0.163</w:t>
            </w:r>
          </w:p>
        </w:tc>
        <w:tc>
          <w:tcPr>
            <w:tcW w:w="1020" w:type="dxa"/>
            <w:shd w:val="clear" w:color="auto" w:fill="EEF4F2"/>
            <w:tcMar>
              <w:top w:w="60" w:type="dxa"/>
              <w:left w:w="110" w:type="dxa"/>
              <w:bottom w:w="60" w:type="dxa"/>
              <w:right w:w="110" w:type="dxa"/>
            </w:tcMar>
            <w:vAlign w:val="center"/>
          </w:tcPr>
          <w:p w14:paraId="30EA664C"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−0.488</w:t>
            </w:r>
          </w:p>
        </w:tc>
        <w:tc>
          <w:tcPr>
            <w:tcW w:w="1020" w:type="dxa"/>
            <w:shd w:val="clear" w:color="auto" w:fill="EEF4F2"/>
            <w:tcMar>
              <w:top w:w="60" w:type="dxa"/>
              <w:left w:w="110" w:type="dxa"/>
              <w:bottom w:w="60" w:type="dxa"/>
              <w:right w:w="110" w:type="dxa"/>
            </w:tcMar>
            <w:vAlign w:val="center"/>
          </w:tcPr>
          <w:p w14:paraId="2B6341DC"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0.795</w:t>
            </w:r>
          </w:p>
        </w:tc>
        <w:tc>
          <w:tcPr>
            <w:tcW w:w="1020" w:type="dxa"/>
            <w:shd w:val="clear" w:color="auto" w:fill="EEF4F2"/>
            <w:tcMar>
              <w:top w:w="60" w:type="dxa"/>
              <w:left w:w="110" w:type="dxa"/>
              <w:bottom w:w="60" w:type="dxa"/>
              <w:right w:w="110" w:type="dxa"/>
            </w:tcMar>
            <w:vAlign w:val="center"/>
          </w:tcPr>
          <w:p w14:paraId="19E25D01"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0.221</w:t>
            </w:r>
          </w:p>
        </w:tc>
        <w:tc>
          <w:tcPr>
            <w:tcW w:w="1020" w:type="dxa"/>
            <w:shd w:val="clear" w:color="auto" w:fill="EEF4F2"/>
            <w:tcMar>
              <w:top w:w="60" w:type="dxa"/>
              <w:left w:w="110" w:type="dxa"/>
              <w:bottom w:w="60" w:type="dxa"/>
              <w:right w:w="110" w:type="dxa"/>
            </w:tcMar>
            <w:vAlign w:val="center"/>
          </w:tcPr>
          <w:p w14:paraId="1C16BF2A"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0.174</w:t>
            </w:r>
          </w:p>
        </w:tc>
        <w:tc>
          <w:tcPr>
            <w:tcW w:w="920" w:type="dxa"/>
            <w:shd w:val="clear" w:color="auto" w:fill="EEF4F2"/>
            <w:tcMar>
              <w:top w:w="60" w:type="dxa"/>
              <w:left w:w="110" w:type="dxa"/>
              <w:bottom w:w="60" w:type="dxa"/>
              <w:right w:w="110" w:type="dxa"/>
            </w:tcMar>
            <w:vAlign w:val="center"/>
          </w:tcPr>
          <w:p w14:paraId="2FB072E5"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7,084</w:t>
            </w:r>
          </w:p>
        </w:tc>
      </w:tr>
      <w:tr w:rsidR="00BC1555" w14:paraId="23C55703" w14:textId="77777777">
        <w:tc>
          <w:tcPr>
            <w:tcW w:w="2280" w:type="dxa"/>
            <w:tcMar>
              <w:top w:w="60" w:type="dxa"/>
              <w:left w:w="110" w:type="dxa"/>
              <w:bottom w:w="60" w:type="dxa"/>
              <w:right w:w="110" w:type="dxa"/>
            </w:tcMar>
            <w:vAlign w:val="center"/>
          </w:tcPr>
          <w:p w14:paraId="3BB9CE72"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High Seasonal Infestation Variation</w:t>
            </w:r>
          </w:p>
        </w:tc>
        <w:tc>
          <w:tcPr>
            <w:tcW w:w="1080" w:type="dxa"/>
            <w:tcMar>
              <w:top w:w="60" w:type="dxa"/>
              <w:left w:w="110" w:type="dxa"/>
              <w:bottom w:w="60" w:type="dxa"/>
              <w:right w:w="110" w:type="dxa"/>
            </w:tcMar>
            <w:vAlign w:val="center"/>
          </w:tcPr>
          <w:p w14:paraId="6231C2B4"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−0.108</w:t>
            </w:r>
          </w:p>
        </w:tc>
        <w:tc>
          <w:tcPr>
            <w:tcW w:w="1000" w:type="dxa"/>
            <w:tcMar>
              <w:top w:w="60" w:type="dxa"/>
              <w:left w:w="110" w:type="dxa"/>
              <w:bottom w:w="60" w:type="dxa"/>
              <w:right w:w="110" w:type="dxa"/>
            </w:tcMar>
            <w:vAlign w:val="center"/>
          </w:tcPr>
          <w:p w14:paraId="2A0764AF"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0.037</w:t>
            </w:r>
          </w:p>
        </w:tc>
        <w:tc>
          <w:tcPr>
            <w:tcW w:w="1020" w:type="dxa"/>
            <w:tcMar>
              <w:top w:w="60" w:type="dxa"/>
              <w:left w:w="110" w:type="dxa"/>
              <w:bottom w:w="60" w:type="dxa"/>
              <w:right w:w="110" w:type="dxa"/>
            </w:tcMar>
            <w:vAlign w:val="center"/>
          </w:tcPr>
          <w:p w14:paraId="78AE59A0"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−0.187</w:t>
            </w:r>
          </w:p>
        </w:tc>
        <w:tc>
          <w:tcPr>
            <w:tcW w:w="1020" w:type="dxa"/>
            <w:tcMar>
              <w:top w:w="60" w:type="dxa"/>
              <w:left w:w="110" w:type="dxa"/>
              <w:bottom w:w="60" w:type="dxa"/>
              <w:right w:w="110" w:type="dxa"/>
            </w:tcMar>
            <w:vAlign w:val="center"/>
          </w:tcPr>
          <w:p w14:paraId="53B136FA"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−0.013</w:t>
            </w:r>
          </w:p>
        </w:tc>
        <w:tc>
          <w:tcPr>
            <w:tcW w:w="1020" w:type="dxa"/>
            <w:tcMar>
              <w:top w:w="60" w:type="dxa"/>
              <w:left w:w="110" w:type="dxa"/>
              <w:bottom w:w="60" w:type="dxa"/>
              <w:right w:w="110" w:type="dxa"/>
            </w:tcMar>
            <w:vAlign w:val="center"/>
          </w:tcPr>
          <w:p w14:paraId="5096E55E"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0.248</w:t>
            </w:r>
          </w:p>
        </w:tc>
        <w:tc>
          <w:tcPr>
            <w:tcW w:w="1020" w:type="dxa"/>
            <w:tcMar>
              <w:top w:w="60" w:type="dxa"/>
              <w:left w:w="110" w:type="dxa"/>
              <w:bottom w:w="60" w:type="dxa"/>
              <w:right w:w="110" w:type="dxa"/>
            </w:tcMar>
            <w:vAlign w:val="center"/>
          </w:tcPr>
          <w:p w14:paraId="47EA2B1A"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0.049</w:t>
            </w:r>
          </w:p>
        </w:tc>
        <w:tc>
          <w:tcPr>
            <w:tcW w:w="920" w:type="dxa"/>
            <w:tcMar>
              <w:top w:w="60" w:type="dxa"/>
              <w:left w:w="110" w:type="dxa"/>
              <w:bottom w:w="60" w:type="dxa"/>
              <w:right w:w="110" w:type="dxa"/>
            </w:tcMar>
            <w:vAlign w:val="center"/>
          </w:tcPr>
          <w:p w14:paraId="7D846A1F"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4,725</w:t>
            </w:r>
          </w:p>
        </w:tc>
      </w:tr>
      <w:tr w:rsidR="00BC1555" w14:paraId="130D059A" w14:textId="77777777">
        <w:tc>
          <w:tcPr>
            <w:tcW w:w="2280" w:type="dxa"/>
            <w:shd w:val="clear" w:color="auto" w:fill="EEF4F2"/>
            <w:tcMar>
              <w:top w:w="60" w:type="dxa"/>
              <w:left w:w="110" w:type="dxa"/>
              <w:bottom w:w="60" w:type="dxa"/>
              <w:right w:w="110" w:type="dxa"/>
            </w:tcMar>
            <w:vAlign w:val="center"/>
          </w:tcPr>
          <w:p w14:paraId="714AD3EA"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Excessive Weed Hotspot</w:t>
            </w:r>
          </w:p>
        </w:tc>
        <w:tc>
          <w:tcPr>
            <w:tcW w:w="1080" w:type="dxa"/>
            <w:shd w:val="clear" w:color="auto" w:fill="EEF4F2"/>
            <w:tcMar>
              <w:top w:w="60" w:type="dxa"/>
              <w:left w:w="110" w:type="dxa"/>
              <w:bottom w:w="60" w:type="dxa"/>
              <w:right w:w="110" w:type="dxa"/>
            </w:tcMar>
            <w:vAlign w:val="center"/>
          </w:tcPr>
          <w:p w14:paraId="5EB09B10"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−0.109</w:t>
            </w:r>
          </w:p>
        </w:tc>
        <w:tc>
          <w:tcPr>
            <w:tcW w:w="1000" w:type="dxa"/>
            <w:shd w:val="clear" w:color="auto" w:fill="EEF4F2"/>
            <w:tcMar>
              <w:top w:w="60" w:type="dxa"/>
              <w:left w:w="110" w:type="dxa"/>
              <w:bottom w:w="60" w:type="dxa"/>
              <w:right w:w="110" w:type="dxa"/>
            </w:tcMar>
            <w:vAlign w:val="center"/>
          </w:tcPr>
          <w:p w14:paraId="383993BF"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0.055</w:t>
            </w:r>
          </w:p>
        </w:tc>
        <w:tc>
          <w:tcPr>
            <w:tcW w:w="1020" w:type="dxa"/>
            <w:shd w:val="clear" w:color="auto" w:fill="EEF4F2"/>
            <w:tcMar>
              <w:top w:w="60" w:type="dxa"/>
              <w:left w:w="110" w:type="dxa"/>
              <w:bottom w:w="60" w:type="dxa"/>
              <w:right w:w="110" w:type="dxa"/>
            </w:tcMar>
            <w:vAlign w:val="center"/>
          </w:tcPr>
          <w:p w14:paraId="13E5E58C"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−0.226</w:t>
            </w:r>
          </w:p>
        </w:tc>
        <w:tc>
          <w:tcPr>
            <w:tcW w:w="1020" w:type="dxa"/>
            <w:shd w:val="clear" w:color="auto" w:fill="EEF4F2"/>
            <w:tcMar>
              <w:top w:w="60" w:type="dxa"/>
              <w:left w:w="110" w:type="dxa"/>
              <w:bottom w:w="60" w:type="dxa"/>
              <w:right w:w="110" w:type="dxa"/>
            </w:tcMar>
            <w:vAlign w:val="center"/>
          </w:tcPr>
          <w:p w14:paraId="75A3F98F"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0.016</w:t>
            </w:r>
          </w:p>
        </w:tc>
        <w:tc>
          <w:tcPr>
            <w:tcW w:w="1020" w:type="dxa"/>
            <w:shd w:val="clear" w:color="auto" w:fill="EEF4F2"/>
            <w:tcMar>
              <w:top w:w="60" w:type="dxa"/>
              <w:left w:w="110" w:type="dxa"/>
              <w:bottom w:w="60" w:type="dxa"/>
              <w:right w:w="110" w:type="dxa"/>
            </w:tcMar>
            <w:vAlign w:val="center"/>
          </w:tcPr>
          <w:p w14:paraId="2EA9CAA7"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0.244</w:t>
            </w:r>
          </w:p>
        </w:tc>
        <w:tc>
          <w:tcPr>
            <w:tcW w:w="1020" w:type="dxa"/>
            <w:shd w:val="clear" w:color="auto" w:fill="EEF4F2"/>
            <w:tcMar>
              <w:top w:w="60" w:type="dxa"/>
              <w:left w:w="110" w:type="dxa"/>
              <w:bottom w:w="60" w:type="dxa"/>
              <w:right w:w="110" w:type="dxa"/>
            </w:tcMar>
            <w:vAlign w:val="center"/>
          </w:tcPr>
          <w:p w14:paraId="42D02B21"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0.085</w:t>
            </w:r>
          </w:p>
        </w:tc>
        <w:tc>
          <w:tcPr>
            <w:tcW w:w="920" w:type="dxa"/>
            <w:shd w:val="clear" w:color="auto" w:fill="EEF4F2"/>
            <w:tcMar>
              <w:top w:w="60" w:type="dxa"/>
              <w:left w:w="110" w:type="dxa"/>
              <w:bottom w:w="60" w:type="dxa"/>
              <w:right w:w="110" w:type="dxa"/>
            </w:tcMar>
            <w:vAlign w:val="center"/>
          </w:tcPr>
          <w:p w14:paraId="47136F3F"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2,352</w:t>
            </w:r>
          </w:p>
        </w:tc>
      </w:tr>
      <w:tr w:rsidR="00BC1555" w14:paraId="12D56151" w14:textId="77777777">
        <w:tc>
          <w:tcPr>
            <w:tcW w:w="2280" w:type="dxa"/>
            <w:tcMar>
              <w:top w:w="60" w:type="dxa"/>
              <w:left w:w="110" w:type="dxa"/>
              <w:bottom w:w="60" w:type="dxa"/>
              <w:right w:w="110" w:type="dxa"/>
            </w:tcMar>
            <w:vAlign w:val="center"/>
          </w:tcPr>
          <w:p w14:paraId="3C5858E0"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Very High Variation Sudd Zone</w:t>
            </w:r>
          </w:p>
        </w:tc>
        <w:tc>
          <w:tcPr>
            <w:tcW w:w="1080" w:type="dxa"/>
            <w:tcMar>
              <w:top w:w="60" w:type="dxa"/>
              <w:left w:w="110" w:type="dxa"/>
              <w:bottom w:w="60" w:type="dxa"/>
              <w:right w:w="110" w:type="dxa"/>
            </w:tcMar>
            <w:vAlign w:val="center"/>
          </w:tcPr>
          <w:p w14:paraId="24566DB5"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−0.118</w:t>
            </w:r>
          </w:p>
        </w:tc>
        <w:tc>
          <w:tcPr>
            <w:tcW w:w="1000" w:type="dxa"/>
            <w:tcMar>
              <w:top w:w="60" w:type="dxa"/>
              <w:left w:w="110" w:type="dxa"/>
              <w:bottom w:w="60" w:type="dxa"/>
              <w:right w:w="110" w:type="dxa"/>
            </w:tcMar>
            <w:vAlign w:val="center"/>
          </w:tcPr>
          <w:p w14:paraId="22BB748C"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0.059</w:t>
            </w:r>
          </w:p>
        </w:tc>
        <w:tc>
          <w:tcPr>
            <w:tcW w:w="1020" w:type="dxa"/>
            <w:tcMar>
              <w:top w:w="60" w:type="dxa"/>
              <w:left w:w="110" w:type="dxa"/>
              <w:bottom w:w="60" w:type="dxa"/>
              <w:right w:w="110" w:type="dxa"/>
            </w:tcMar>
            <w:vAlign w:val="center"/>
          </w:tcPr>
          <w:p w14:paraId="0C72F6C1"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−0.227</w:t>
            </w:r>
          </w:p>
        </w:tc>
        <w:tc>
          <w:tcPr>
            <w:tcW w:w="1020" w:type="dxa"/>
            <w:tcMar>
              <w:top w:w="60" w:type="dxa"/>
              <w:left w:w="110" w:type="dxa"/>
              <w:bottom w:w="60" w:type="dxa"/>
              <w:right w:w="110" w:type="dxa"/>
            </w:tcMar>
            <w:vAlign w:val="center"/>
          </w:tcPr>
          <w:p w14:paraId="31710010"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−0.008</w:t>
            </w:r>
          </w:p>
        </w:tc>
        <w:tc>
          <w:tcPr>
            <w:tcW w:w="1020" w:type="dxa"/>
            <w:tcMar>
              <w:top w:w="60" w:type="dxa"/>
              <w:left w:w="110" w:type="dxa"/>
              <w:bottom w:w="60" w:type="dxa"/>
              <w:right w:w="110" w:type="dxa"/>
            </w:tcMar>
            <w:vAlign w:val="center"/>
          </w:tcPr>
          <w:p w14:paraId="571C3742"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0.254</w:t>
            </w:r>
          </w:p>
        </w:tc>
        <w:tc>
          <w:tcPr>
            <w:tcW w:w="1020" w:type="dxa"/>
            <w:tcMar>
              <w:top w:w="60" w:type="dxa"/>
              <w:left w:w="110" w:type="dxa"/>
              <w:bottom w:w="60" w:type="dxa"/>
              <w:right w:w="110" w:type="dxa"/>
            </w:tcMar>
            <w:vAlign w:val="center"/>
          </w:tcPr>
          <w:p w14:paraId="7080C9D2"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0.068</w:t>
            </w:r>
          </w:p>
        </w:tc>
        <w:tc>
          <w:tcPr>
            <w:tcW w:w="920" w:type="dxa"/>
            <w:tcMar>
              <w:top w:w="60" w:type="dxa"/>
              <w:left w:w="110" w:type="dxa"/>
              <w:bottom w:w="60" w:type="dxa"/>
              <w:right w:w="110" w:type="dxa"/>
            </w:tcMar>
            <w:vAlign w:val="center"/>
          </w:tcPr>
          <w:p w14:paraId="17CB7E3E"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2,100</w:t>
            </w:r>
          </w:p>
        </w:tc>
      </w:tr>
    </w:tbl>
    <w:p w14:paraId="26051D95" w14:textId="77777777" w:rsidR="00DB0109" w:rsidRPr="00414D2A" w:rsidRDefault="007B6AAF" w:rsidP="00A623D5">
      <w:pPr>
        <w:spacing w:after="160" w:line="360" w:lineRule="auto"/>
        <w:jc w:val="both"/>
        <w:rPr>
          <w:rFonts w:ascii="Times New Roman" w:hAnsi="Times New Roman" w:cs="Times New Roman"/>
        </w:rPr>
      </w:pPr>
      <w:r>
        <w:rPr>
          <w:rFonts w:ascii="Times New Roman" w:hAnsi="Times New Roman" w:cs="Times New Roman"/>
        </w:rPr>
        <w:t>Note. Zone names are management designations, not measured infestation levels. In Figures 5 and 21 they are abbreviated as OW (Open Water), Control (No Weed Infestation Control), Transitional, Near Shore, High Seasonal Var. (High Seasonal Infestation Variation), Weed Hotspot (Excessive Weed Infestation Hotspot) and Sudd Zone (Very High Variation Sudd Zone).</w:t>
      </w:r>
    </w:p>
    <w:p w14:paraId="2D4CAAFB" w14:textId="72DAFA0E" w:rsidR="00611175" w:rsidRPr="00352C77" w:rsidRDefault="00611175" w:rsidP="00A623D5">
      <w:pPr>
        <w:keepNext/>
        <w:spacing w:before="120" w:after="40" w:line="360" w:lineRule="auto"/>
        <w:jc w:val="center"/>
        <w:rPr>
          <w:rFonts w:ascii="Times New Roman" w:hAnsi="Times New Roman" w:cs="Times New Roman"/>
        </w:rPr>
      </w:pPr>
    </w:p>
    <w:p w14:paraId="71482E74" w14:textId="4FA6E637" w:rsidR="00DB0109" w:rsidRPr="00076579" w:rsidRDefault="00611175" w:rsidP="00A623D5">
      <w:pPr>
        <w:pStyle w:val="Caption"/>
        <w:jc w:val="center"/>
        <w:rPr>
          <w:rFonts w:ascii="Times New Roman" w:hAnsi="Times New Roman" w:cs="Times New Roman"/>
        </w:rPr>
      </w:pPr>
      <w:bookmarkStart w:id="113" w:name="_Toc237884366"/>
      <w:r>
        <w:rPr>
          <w:rFonts w:ascii="Times New Roman" w:hAnsi="Times New Roman" w:cs="Times New Roman"/>
        </w:rPr>
        <w:t xml:space="preserve">Figure </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402E51">
        <w:rPr>
          <w:rFonts w:ascii="Times New Roman" w:hAnsi="Times New Roman" w:cs="Times New Roman"/>
          <w:noProof/>
        </w:rPr>
        <w:t>5</w:t>
      </w:r>
      <w:r>
        <w:rPr>
          <w:rFonts w:ascii="Times New Roman" w:hAnsi="Times New Roman" w:cs="Times New Roman"/>
        </w:rPr>
        <w:fldChar w:fldCharType="end"/>
      </w:r>
      <w:r>
        <w:rPr>
          <w:rFonts w:ascii="Times New Roman" w:hAnsi="Times New Roman" w:cs="Times New Roman"/>
        </w:rPr>
        <w:t>: NDVI distribution by zone type (box plot)</w:t>
      </w:r>
      <w:bookmarkEnd w:id="113"/>
    </w:p>
    <w:p w14:paraId="792B1F15"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The box plot in Figure 5 provides further insight into the distribution of NDVI within each zone. The Open Water and No Weed Infestation Control zones show the widest interquartile ranges and the highest maximum values, indicating significant spatial heterogeneity; some pixels reach strongly positive NDVI (up to 0.847 and 0.725), suggesting isolated vegetation patches, emergent plants or algae within otherwise open water. In contrast, the High Seasonal Infestation Variation, Excessive Weed Infestation Hotspot and Very High Variation Sudd zones show much narrower </w:t>
      </w:r>
      <w:r>
        <w:rPr>
          <w:rFonts w:ascii="Times New Roman" w:hAnsi="Times New Roman" w:cs="Times New Roman"/>
        </w:rPr>
        <w:lastRenderedPageBreak/>
        <w:t>distributions with low variance, indicating more spectrally homogeneous conditions.</w:t>
      </w:r>
      <w:r>
        <w:rPr>
          <w:rFonts w:ascii="Times New Roman" w:hAnsi="Times New Roman" w:cs="Times New Roman"/>
          <w:noProof/>
        </w:rPr>
        <w:t xml:space="preserve"> </w:t>
      </w:r>
      <w:r>
        <w:rPr>
          <w:rFonts w:ascii="Times New Roman" w:hAnsi="Times New Roman" w:cs="Times New Roman"/>
          <w:noProof/>
        </w:rPr>
        <w:drawing>
          <wp:inline distT="0" distB="0" distL="0" distR="0" wp14:anchorId="32E5C5FF" wp14:editId="33E9A4A0">
            <wp:extent cx="5370415" cy="2635250"/>
            <wp:effectExtent l="0" t="0" r="1905" b="0"/>
            <wp:docPr id="2" name="Figure 5: NDVI distribution by zone type (box plot)" descr="Figure 5: NDVI distribution by zone type (box plot)" title="Figure 5: NDVI distribution by zone type (box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5381744" cy="2640809"/>
                    </a:xfrm>
                    <a:prstGeom prst="rect">
                      <a:avLst/>
                    </a:prstGeom>
                  </pic:spPr>
                </pic:pic>
              </a:graphicData>
            </a:graphic>
          </wp:inline>
        </w:drawing>
      </w:r>
    </w:p>
    <w:p w14:paraId="06546E14" w14:textId="77777777" w:rsidR="003F30FB" w:rsidRPr="00352C77" w:rsidRDefault="007B6AAF" w:rsidP="00A623D5">
      <w:pPr>
        <w:pStyle w:val="Heading3"/>
        <w:spacing w:line="360" w:lineRule="auto"/>
        <w:rPr>
          <w:rFonts w:ascii="Times New Roman" w:hAnsi="Times New Roman" w:cs="Times New Roman"/>
        </w:rPr>
      </w:pPr>
      <w:bookmarkStart w:id="114" w:name="_Toc237884327"/>
      <w:r>
        <w:rPr>
          <w:rFonts w:ascii="Times New Roman" w:hAnsi="Times New Roman" w:cs="Times New Roman"/>
        </w:rPr>
        <w:t>4.3.1 Test of Differences Among Zone Types (Hypothesis H1)</w:t>
      </w:r>
      <w:bookmarkEnd w:id="114"/>
    </w:p>
    <w:p w14:paraId="700FBC12" w14:textId="77777777" w:rsidR="003F30FB"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A Welch’s one-way ANOVA confirmed that mean NDVI differed significantly among the seven zone types, Welch’s </w:t>
      </w:r>
      <w:proofErr w:type="gramStart"/>
      <w:r>
        <w:rPr>
          <w:rFonts w:ascii="Times New Roman" w:hAnsi="Times New Roman" w:cs="Times New Roman"/>
        </w:rPr>
        <w:t>F(</w:t>
      </w:r>
      <w:proofErr w:type="gramEnd"/>
      <w:r>
        <w:rPr>
          <w:rFonts w:ascii="Times New Roman" w:hAnsi="Times New Roman" w:cs="Times New Roman"/>
        </w:rPr>
        <w:t xml:space="preserve">6, 9859.3) = 328.29, p &lt; .001 (classical ANOVA </w:t>
      </w:r>
      <w:proofErr w:type="gramStart"/>
      <w:r>
        <w:rPr>
          <w:rFonts w:ascii="Times New Roman" w:hAnsi="Times New Roman" w:cs="Times New Roman"/>
        </w:rPr>
        <w:t>F(</w:t>
      </w:r>
      <w:proofErr w:type="gramEnd"/>
      <w:r>
        <w:rPr>
          <w:rFonts w:ascii="Times New Roman" w:hAnsi="Times New Roman" w:cs="Times New Roman"/>
        </w:rPr>
        <w:t xml:space="preserve">6, 30289) = 287.22, p &lt; .001). The parallel test on NDWI was likewise significant, Welch’s </w:t>
      </w:r>
      <w:proofErr w:type="gramStart"/>
      <w:r>
        <w:rPr>
          <w:rFonts w:ascii="Times New Roman" w:hAnsi="Times New Roman" w:cs="Times New Roman"/>
        </w:rPr>
        <w:t>F(</w:t>
      </w:r>
      <w:proofErr w:type="gramEnd"/>
      <w:r>
        <w:rPr>
          <w:rFonts w:ascii="Times New Roman" w:hAnsi="Times New Roman" w:cs="Times New Roman"/>
        </w:rPr>
        <w:t>6, 9860.7) = 334.23, p &lt; .001. Hypothesis H1 is therefore supported: the zone types are spectrally distinct. The effect size was nonetheless small, η² = 0.05 for both indices, meaning that zone type accounts for only about five percent of the total pixel-to-pixel variance in NDVI. Although the differences among zone means are highly statistically significant, most of the variation in the index therefore occurs within zones rather than between them, a direct consequence of the fine-grained patchiness of aquatic vegetation and the large within-zone pixel counts. This reinforces the interpretation that weed cover is locally concentrated and spectrally mixed rather than cleanly separated by management zone.</w:t>
      </w:r>
    </w:p>
    <w:p w14:paraId="26AEF155" w14:textId="77777777" w:rsidR="003F30FB"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In conclusion, the null hypothesis of no difference in mean NDVI among the seven ecological zone types is rejected (Welch’s </w:t>
      </w:r>
      <w:proofErr w:type="gramStart"/>
      <w:r>
        <w:rPr>
          <w:rFonts w:ascii="Times New Roman" w:hAnsi="Times New Roman" w:cs="Times New Roman"/>
        </w:rPr>
        <w:t>F(</w:t>
      </w:r>
      <w:proofErr w:type="gramEnd"/>
      <w:r>
        <w:rPr>
          <w:rFonts w:ascii="Times New Roman" w:hAnsi="Times New Roman" w:cs="Times New Roman"/>
        </w:rPr>
        <w:t>6, 9859.3) = 328.29, p &lt; .001, η² = 0.05). Hypothesis H1 is accepted: the zone types are spectrally distinct. The small effect size means, however, that zone membership on its own is a weak predictor of the value of any individual pixel, so the zonation is best used to stratify sampling rather than to infer the condition of a particular location.</w:t>
      </w:r>
    </w:p>
    <w:p w14:paraId="206D07D9" w14:textId="77777777" w:rsidR="00DB0109" w:rsidRPr="00352C77" w:rsidRDefault="007B6AAF" w:rsidP="00A623D5">
      <w:pPr>
        <w:pStyle w:val="Heading2"/>
        <w:spacing w:line="360" w:lineRule="auto"/>
        <w:rPr>
          <w:rFonts w:ascii="Times New Roman" w:hAnsi="Times New Roman" w:cs="Times New Roman"/>
        </w:rPr>
      </w:pPr>
      <w:bookmarkStart w:id="115" w:name="_Toc237884328"/>
      <w:r>
        <w:rPr>
          <w:rFonts w:ascii="Times New Roman" w:hAnsi="Times New Roman" w:cs="Times New Roman"/>
        </w:rPr>
        <w:lastRenderedPageBreak/>
        <w:t>4.4 Regional Variation in NDVI and NDWI</w:t>
      </w:r>
      <w:bookmarkEnd w:id="115"/>
    </w:p>
    <w:p w14:paraId="11D2CBA1"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The five regions exhibited distinct NDVI and NDWI patterns, reflecting differences in hydrology, catchment characteristics and anthropogenic influence. The Southern region recorded the highest mean NDVI (0.012) and was the only region with a positive mean, suggesting the most extensive vegetation cover, likely due to shallower water, higher nutrient inputs from surrounding agricultural land and favourable conditions for weed growth. The Northern, Eastern, Dynamic Targeting and Western regions all exhibited negative mean NDVI, with the Western region the lowest (−0.096). The Southern region also showed the highest standard deviation (0.274), consistent with a mosaic of dense weed beds and open-water patches. The Dynamic Targeting region, despite the largest sample (11,333 pixels), showed a moderate mean NDVI (−0.093) with moderate variability (SD = 0.103), suggesting a transitional zone with mixed characteristics.</w:t>
      </w:r>
    </w:p>
    <w:p w14:paraId="5EDA9104" w14:textId="77777777" w:rsidR="009658D1" w:rsidRPr="00352C77" w:rsidRDefault="009658D1" w:rsidP="00A623D5">
      <w:pPr>
        <w:pStyle w:val="Caption"/>
        <w:keepNext/>
        <w:rPr>
          <w:rFonts w:ascii="Times New Roman" w:hAnsi="Times New Roman" w:cs="Times New Roman"/>
        </w:rPr>
      </w:pPr>
      <w:bookmarkStart w:id="116" w:name="_Toc237884353"/>
      <w:r>
        <w:rPr>
          <w:rFonts w:ascii="Times New Roman" w:hAnsi="Times New Roman" w:cs="Times New Roman"/>
        </w:rPr>
        <w:t xml:space="preserve">Table </w:t>
      </w:r>
      <w:r>
        <w:rPr>
          <w:rFonts w:ascii="Times New Roman" w:hAnsi="Times New Roman" w:cs="Times New Roman"/>
        </w:rPr>
        <w:fldChar w:fldCharType="begin"/>
      </w:r>
      <w:r>
        <w:rPr>
          <w:rFonts w:ascii="Times New Roman" w:hAnsi="Times New Roman" w:cs="Times New Roman"/>
        </w:rPr>
        <w:instrText xml:space="preserve"> SEQ Table \* ARABIC </w:instrText>
      </w:r>
      <w:r>
        <w:rPr>
          <w:rFonts w:ascii="Times New Roman" w:hAnsi="Times New Roman" w:cs="Times New Roman"/>
        </w:rPr>
        <w:fldChar w:fldCharType="separate"/>
      </w:r>
      <w:r>
        <w:rPr>
          <w:rFonts w:ascii="Times New Roman" w:hAnsi="Times New Roman" w:cs="Times New Roman"/>
          <w:noProof/>
        </w:rPr>
        <w:t>5</w:t>
      </w:r>
      <w:r>
        <w:rPr>
          <w:rFonts w:ascii="Times New Roman" w:hAnsi="Times New Roman" w:cs="Times New Roman"/>
        </w:rPr>
        <w:fldChar w:fldCharType="end"/>
      </w:r>
      <w:r>
        <w:rPr>
          <w:rFonts w:ascii="Times New Roman" w:hAnsi="Times New Roman" w:cs="Times New Roman"/>
        </w:rPr>
        <w:t>: NDVI and NDWI Statistics by Region</w:t>
      </w:r>
      <w:bookmarkEnd w:id="116"/>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60"/>
        <w:gridCol w:w="1500"/>
        <w:gridCol w:w="1400"/>
        <w:gridCol w:w="1400"/>
        <w:gridCol w:w="1300"/>
        <w:gridCol w:w="1400"/>
      </w:tblGrid>
      <w:tr w:rsidR="00BC1555" w14:paraId="53F71866" w14:textId="77777777">
        <w:trPr>
          <w:tblHeader/>
        </w:trPr>
        <w:tc>
          <w:tcPr>
            <w:tcW w:w="2360" w:type="dxa"/>
            <w:shd w:val="clear" w:color="auto" w:fill="2E6B5E"/>
            <w:tcMar>
              <w:top w:w="60" w:type="dxa"/>
              <w:left w:w="110" w:type="dxa"/>
              <w:bottom w:w="60" w:type="dxa"/>
              <w:right w:w="110" w:type="dxa"/>
            </w:tcMar>
            <w:vAlign w:val="center"/>
          </w:tcPr>
          <w:p w14:paraId="01FA22C5"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b/>
                <w:bCs/>
                <w:color w:val="FFFFFF"/>
                <w:sz w:val="20"/>
                <w:szCs w:val="20"/>
              </w:rPr>
              <w:t>Region</w:t>
            </w:r>
          </w:p>
        </w:tc>
        <w:tc>
          <w:tcPr>
            <w:tcW w:w="1500" w:type="dxa"/>
            <w:shd w:val="clear" w:color="auto" w:fill="2E6B5E"/>
            <w:tcMar>
              <w:top w:w="60" w:type="dxa"/>
              <w:left w:w="110" w:type="dxa"/>
              <w:bottom w:w="60" w:type="dxa"/>
              <w:right w:w="110" w:type="dxa"/>
            </w:tcMar>
            <w:vAlign w:val="center"/>
          </w:tcPr>
          <w:p w14:paraId="74148AA6"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b/>
                <w:bCs/>
                <w:color w:val="FFFFFF"/>
                <w:sz w:val="20"/>
                <w:szCs w:val="20"/>
              </w:rPr>
              <w:t>Mean NDVI</w:t>
            </w:r>
          </w:p>
        </w:tc>
        <w:tc>
          <w:tcPr>
            <w:tcW w:w="1400" w:type="dxa"/>
            <w:shd w:val="clear" w:color="auto" w:fill="2E6B5E"/>
            <w:tcMar>
              <w:top w:w="60" w:type="dxa"/>
              <w:left w:w="110" w:type="dxa"/>
              <w:bottom w:w="60" w:type="dxa"/>
              <w:right w:w="110" w:type="dxa"/>
            </w:tcMar>
            <w:vAlign w:val="center"/>
          </w:tcPr>
          <w:p w14:paraId="5317ED27"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b/>
                <w:bCs/>
                <w:color w:val="FFFFFF"/>
                <w:sz w:val="20"/>
                <w:szCs w:val="20"/>
              </w:rPr>
              <w:t>SD NDVI</w:t>
            </w:r>
          </w:p>
        </w:tc>
        <w:tc>
          <w:tcPr>
            <w:tcW w:w="1400" w:type="dxa"/>
            <w:shd w:val="clear" w:color="auto" w:fill="2E6B5E"/>
            <w:tcMar>
              <w:top w:w="60" w:type="dxa"/>
              <w:left w:w="110" w:type="dxa"/>
              <w:bottom w:w="60" w:type="dxa"/>
              <w:right w:w="110" w:type="dxa"/>
            </w:tcMar>
            <w:vAlign w:val="center"/>
          </w:tcPr>
          <w:p w14:paraId="57F1E2D5"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b/>
                <w:bCs/>
                <w:color w:val="FFFFFF"/>
                <w:sz w:val="20"/>
                <w:szCs w:val="20"/>
              </w:rPr>
              <w:t>Mean NDWI</w:t>
            </w:r>
          </w:p>
        </w:tc>
        <w:tc>
          <w:tcPr>
            <w:tcW w:w="1300" w:type="dxa"/>
            <w:shd w:val="clear" w:color="auto" w:fill="2E6B5E"/>
            <w:tcMar>
              <w:top w:w="60" w:type="dxa"/>
              <w:left w:w="110" w:type="dxa"/>
              <w:bottom w:w="60" w:type="dxa"/>
              <w:right w:w="110" w:type="dxa"/>
            </w:tcMar>
            <w:vAlign w:val="center"/>
          </w:tcPr>
          <w:p w14:paraId="7597F445"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b/>
                <w:bCs/>
                <w:color w:val="FFFFFF"/>
                <w:sz w:val="20"/>
                <w:szCs w:val="20"/>
              </w:rPr>
              <w:t>SD NDWI</w:t>
            </w:r>
          </w:p>
        </w:tc>
        <w:tc>
          <w:tcPr>
            <w:tcW w:w="1400" w:type="dxa"/>
            <w:shd w:val="clear" w:color="auto" w:fill="2E6B5E"/>
            <w:tcMar>
              <w:top w:w="60" w:type="dxa"/>
              <w:left w:w="110" w:type="dxa"/>
              <w:bottom w:w="60" w:type="dxa"/>
              <w:right w:w="110" w:type="dxa"/>
            </w:tcMar>
            <w:vAlign w:val="center"/>
          </w:tcPr>
          <w:p w14:paraId="6182F4AC"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b/>
                <w:bCs/>
                <w:color w:val="FFFFFF"/>
                <w:sz w:val="20"/>
                <w:szCs w:val="20"/>
              </w:rPr>
              <w:t>Pixel Count</w:t>
            </w:r>
          </w:p>
        </w:tc>
      </w:tr>
      <w:tr w:rsidR="00BC1555" w14:paraId="6601B445" w14:textId="77777777">
        <w:tc>
          <w:tcPr>
            <w:tcW w:w="2360" w:type="dxa"/>
            <w:tcMar>
              <w:top w:w="60" w:type="dxa"/>
              <w:left w:w="110" w:type="dxa"/>
              <w:bottom w:w="60" w:type="dxa"/>
              <w:right w:w="110" w:type="dxa"/>
            </w:tcMar>
            <w:vAlign w:val="center"/>
          </w:tcPr>
          <w:p w14:paraId="0277408C"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Southern</w:t>
            </w:r>
          </w:p>
        </w:tc>
        <w:tc>
          <w:tcPr>
            <w:tcW w:w="1500" w:type="dxa"/>
            <w:tcMar>
              <w:top w:w="60" w:type="dxa"/>
              <w:left w:w="110" w:type="dxa"/>
              <w:bottom w:w="60" w:type="dxa"/>
              <w:right w:w="110" w:type="dxa"/>
            </w:tcMar>
            <w:vAlign w:val="center"/>
          </w:tcPr>
          <w:p w14:paraId="33F3E425"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0.012</w:t>
            </w:r>
          </w:p>
        </w:tc>
        <w:tc>
          <w:tcPr>
            <w:tcW w:w="1400" w:type="dxa"/>
            <w:tcMar>
              <w:top w:w="60" w:type="dxa"/>
              <w:left w:w="110" w:type="dxa"/>
              <w:bottom w:w="60" w:type="dxa"/>
              <w:right w:w="110" w:type="dxa"/>
            </w:tcMar>
            <w:vAlign w:val="center"/>
          </w:tcPr>
          <w:p w14:paraId="2E843C82"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0.274</w:t>
            </w:r>
          </w:p>
        </w:tc>
        <w:tc>
          <w:tcPr>
            <w:tcW w:w="1400" w:type="dxa"/>
            <w:tcMar>
              <w:top w:w="60" w:type="dxa"/>
              <w:left w:w="110" w:type="dxa"/>
              <w:bottom w:w="60" w:type="dxa"/>
              <w:right w:w="110" w:type="dxa"/>
            </w:tcMar>
            <w:vAlign w:val="center"/>
          </w:tcPr>
          <w:p w14:paraId="22120246"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0.118</w:t>
            </w:r>
          </w:p>
        </w:tc>
        <w:tc>
          <w:tcPr>
            <w:tcW w:w="1300" w:type="dxa"/>
            <w:tcMar>
              <w:top w:w="60" w:type="dxa"/>
              <w:left w:w="110" w:type="dxa"/>
              <w:bottom w:w="60" w:type="dxa"/>
              <w:right w:w="110" w:type="dxa"/>
            </w:tcMar>
            <w:vAlign w:val="center"/>
          </w:tcPr>
          <w:p w14:paraId="27EDF001"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0.287</w:t>
            </w:r>
          </w:p>
        </w:tc>
        <w:tc>
          <w:tcPr>
            <w:tcW w:w="1400" w:type="dxa"/>
            <w:tcMar>
              <w:top w:w="60" w:type="dxa"/>
              <w:left w:w="110" w:type="dxa"/>
              <w:bottom w:w="60" w:type="dxa"/>
              <w:right w:w="110" w:type="dxa"/>
            </w:tcMar>
            <w:vAlign w:val="center"/>
          </w:tcPr>
          <w:p w14:paraId="6E1D0F28"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3,444</w:t>
            </w:r>
          </w:p>
        </w:tc>
      </w:tr>
      <w:tr w:rsidR="00BC1555" w14:paraId="0E3D5D2C" w14:textId="77777777">
        <w:tc>
          <w:tcPr>
            <w:tcW w:w="2360" w:type="dxa"/>
            <w:shd w:val="clear" w:color="auto" w:fill="EEF4F2"/>
            <w:tcMar>
              <w:top w:w="60" w:type="dxa"/>
              <w:left w:w="110" w:type="dxa"/>
              <w:bottom w:w="60" w:type="dxa"/>
              <w:right w:w="110" w:type="dxa"/>
            </w:tcMar>
            <w:vAlign w:val="center"/>
          </w:tcPr>
          <w:p w14:paraId="5AD55FFE"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Northern</w:t>
            </w:r>
          </w:p>
        </w:tc>
        <w:tc>
          <w:tcPr>
            <w:tcW w:w="1500" w:type="dxa"/>
            <w:shd w:val="clear" w:color="auto" w:fill="EEF4F2"/>
            <w:tcMar>
              <w:top w:w="60" w:type="dxa"/>
              <w:left w:w="110" w:type="dxa"/>
              <w:bottom w:w="60" w:type="dxa"/>
              <w:right w:w="110" w:type="dxa"/>
            </w:tcMar>
            <w:vAlign w:val="center"/>
          </w:tcPr>
          <w:p w14:paraId="46D08324"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−0.074</w:t>
            </w:r>
          </w:p>
        </w:tc>
        <w:tc>
          <w:tcPr>
            <w:tcW w:w="1400" w:type="dxa"/>
            <w:shd w:val="clear" w:color="auto" w:fill="EEF4F2"/>
            <w:tcMar>
              <w:top w:w="60" w:type="dxa"/>
              <w:left w:w="110" w:type="dxa"/>
              <w:bottom w:w="60" w:type="dxa"/>
              <w:right w:w="110" w:type="dxa"/>
            </w:tcMar>
            <w:vAlign w:val="center"/>
          </w:tcPr>
          <w:p w14:paraId="4843DD2F"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0.104</w:t>
            </w:r>
          </w:p>
        </w:tc>
        <w:tc>
          <w:tcPr>
            <w:tcW w:w="1400" w:type="dxa"/>
            <w:shd w:val="clear" w:color="auto" w:fill="EEF4F2"/>
            <w:tcMar>
              <w:top w:w="60" w:type="dxa"/>
              <w:left w:w="110" w:type="dxa"/>
              <w:bottom w:w="60" w:type="dxa"/>
              <w:right w:w="110" w:type="dxa"/>
            </w:tcMar>
            <w:vAlign w:val="center"/>
          </w:tcPr>
          <w:p w14:paraId="6E893D7F"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0.204</w:t>
            </w:r>
          </w:p>
        </w:tc>
        <w:tc>
          <w:tcPr>
            <w:tcW w:w="1300" w:type="dxa"/>
            <w:shd w:val="clear" w:color="auto" w:fill="EEF4F2"/>
            <w:tcMar>
              <w:top w:w="60" w:type="dxa"/>
              <w:left w:w="110" w:type="dxa"/>
              <w:bottom w:w="60" w:type="dxa"/>
              <w:right w:w="110" w:type="dxa"/>
            </w:tcMar>
            <w:vAlign w:val="center"/>
          </w:tcPr>
          <w:p w14:paraId="220920C8"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0.126</w:t>
            </w:r>
          </w:p>
        </w:tc>
        <w:tc>
          <w:tcPr>
            <w:tcW w:w="1400" w:type="dxa"/>
            <w:shd w:val="clear" w:color="auto" w:fill="EEF4F2"/>
            <w:tcMar>
              <w:top w:w="60" w:type="dxa"/>
              <w:left w:w="110" w:type="dxa"/>
              <w:bottom w:w="60" w:type="dxa"/>
              <w:right w:w="110" w:type="dxa"/>
            </w:tcMar>
            <w:vAlign w:val="center"/>
          </w:tcPr>
          <w:p w14:paraId="533B6502"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4,767</w:t>
            </w:r>
          </w:p>
        </w:tc>
      </w:tr>
      <w:tr w:rsidR="00BC1555" w14:paraId="2FF9A36F" w14:textId="77777777">
        <w:tc>
          <w:tcPr>
            <w:tcW w:w="2360" w:type="dxa"/>
            <w:tcMar>
              <w:top w:w="60" w:type="dxa"/>
              <w:left w:w="110" w:type="dxa"/>
              <w:bottom w:w="60" w:type="dxa"/>
              <w:right w:w="110" w:type="dxa"/>
            </w:tcMar>
            <w:vAlign w:val="center"/>
          </w:tcPr>
          <w:p w14:paraId="7147C144"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Eastern</w:t>
            </w:r>
          </w:p>
        </w:tc>
        <w:tc>
          <w:tcPr>
            <w:tcW w:w="1500" w:type="dxa"/>
            <w:tcMar>
              <w:top w:w="60" w:type="dxa"/>
              <w:left w:w="110" w:type="dxa"/>
              <w:bottom w:w="60" w:type="dxa"/>
              <w:right w:w="110" w:type="dxa"/>
            </w:tcMar>
            <w:vAlign w:val="center"/>
          </w:tcPr>
          <w:p w14:paraId="68CE4B95"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−0.074</w:t>
            </w:r>
          </w:p>
        </w:tc>
        <w:tc>
          <w:tcPr>
            <w:tcW w:w="1400" w:type="dxa"/>
            <w:tcMar>
              <w:top w:w="60" w:type="dxa"/>
              <w:left w:w="110" w:type="dxa"/>
              <w:bottom w:w="60" w:type="dxa"/>
              <w:right w:w="110" w:type="dxa"/>
            </w:tcMar>
            <w:vAlign w:val="center"/>
          </w:tcPr>
          <w:p w14:paraId="4D3672F6"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0.171</w:t>
            </w:r>
          </w:p>
        </w:tc>
        <w:tc>
          <w:tcPr>
            <w:tcW w:w="1400" w:type="dxa"/>
            <w:tcMar>
              <w:top w:w="60" w:type="dxa"/>
              <w:left w:w="110" w:type="dxa"/>
              <w:bottom w:w="60" w:type="dxa"/>
              <w:right w:w="110" w:type="dxa"/>
            </w:tcMar>
            <w:vAlign w:val="center"/>
          </w:tcPr>
          <w:p w14:paraId="3CE52D6C"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0.201</w:t>
            </w:r>
          </w:p>
        </w:tc>
        <w:tc>
          <w:tcPr>
            <w:tcW w:w="1300" w:type="dxa"/>
            <w:tcMar>
              <w:top w:w="60" w:type="dxa"/>
              <w:left w:w="110" w:type="dxa"/>
              <w:bottom w:w="60" w:type="dxa"/>
              <w:right w:w="110" w:type="dxa"/>
            </w:tcMar>
            <w:vAlign w:val="center"/>
          </w:tcPr>
          <w:p w14:paraId="3F0C4AD9"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0.187</w:t>
            </w:r>
          </w:p>
        </w:tc>
        <w:tc>
          <w:tcPr>
            <w:tcW w:w="1400" w:type="dxa"/>
            <w:tcMar>
              <w:top w:w="60" w:type="dxa"/>
              <w:left w:w="110" w:type="dxa"/>
              <w:bottom w:w="60" w:type="dxa"/>
              <w:right w:w="110" w:type="dxa"/>
            </w:tcMar>
            <w:vAlign w:val="center"/>
          </w:tcPr>
          <w:p w14:paraId="55A02CAA"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8,337</w:t>
            </w:r>
          </w:p>
        </w:tc>
      </w:tr>
      <w:tr w:rsidR="00BC1555" w14:paraId="679805D0" w14:textId="77777777">
        <w:tc>
          <w:tcPr>
            <w:tcW w:w="2360" w:type="dxa"/>
            <w:shd w:val="clear" w:color="auto" w:fill="EEF4F2"/>
            <w:tcMar>
              <w:top w:w="60" w:type="dxa"/>
              <w:left w:w="110" w:type="dxa"/>
              <w:bottom w:w="60" w:type="dxa"/>
              <w:right w:w="110" w:type="dxa"/>
            </w:tcMar>
            <w:vAlign w:val="center"/>
          </w:tcPr>
          <w:p w14:paraId="7949DF1C"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Dynamic Targeting</w:t>
            </w:r>
          </w:p>
        </w:tc>
        <w:tc>
          <w:tcPr>
            <w:tcW w:w="1500" w:type="dxa"/>
            <w:shd w:val="clear" w:color="auto" w:fill="EEF4F2"/>
            <w:tcMar>
              <w:top w:w="60" w:type="dxa"/>
              <w:left w:w="110" w:type="dxa"/>
              <w:bottom w:w="60" w:type="dxa"/>
              <w:right w:w="110" w:type="dxa"/>
            </w:tcMar>
            <w:vAlign w:val="center"/>
          </w:tcPr>
          <w:p w14:paraId="220138F9"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−0.093</w:t>
            </w:r>
          </w:p>
        </w:tc>
        <w:tc>
          <w:tcPr>
            <w:tcW w:w="1400" w:type="dxa"/>
            <w:shd w:val="clear" w:color="auto" w:fill="EEF4F2"/>
            <w:tcMar>
              <w:top w:w="60" w:type="dxa"/>
              <w:left w:w="110" w:type="dxa"/>
              <w:bottom w:w="60" w:type="dxa"/>
              <w:right w:w="110" w:type="dxa"/>
            </w:tcMar>
            <w:vAlign w:val="center"/>
          </w:tcPr>
          <w:p w14:paraId="23F36F6B"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0.103</w:t>
            </w:r>
          </w:p>
        </w:tc>
        <w:tc>
          <w:tcPr>
            <w:tcW w:w="1400" w:type="dxa"/>
            <w:shd w:val="clear" w:color="auto" w:fill="EEF4F2"/>
            <w:tcMar>
              <w:top w:w="60" w:type="dxa"/>
              <w:left w:w="110" w:type="dxa"/>
              <w:bottom w:w="60" w:type="dxa"/>
              <w:right w:w="110" w:type="dxa"/>
            </w:tcMar>
            <w:vAlign w:val="center"/>
          </w:tcPr>
          <w:p w14:paraId="4D060FDF"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0.230</w:t>
            </w:r>
          </w:p>
        </w:tc>
        <w:tc>
          <w:tcPr>
            <w:tcW w:w="1300" w:type="dxa"/>
            <w:shd w:val="clear" w:color="auto" w:fill="EEF4F2"/>
            <w:tcMar>
              <w:top w:w="60" w:type="dxa"/>
              <w:left w:w="110" w:type="dxa"/>
              <w:bottom w:w="60" w:type="dxa"/>
              <w:right w:w="110" w:type="dxa"/>
            </w:tcMar>
            <w:vAlign w:val="center"/>
          </w:tcPr>
          <w:p w14:paraId="7C9BBA18"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0.121</w:t>
            </w:r>
          </w:p>
        </w:tc>
        <w:tc>
          <w:tcPr>
            <w:tcW w:w="1400" w:type="dxa"/>
            <w:shd w:val="clear" w:color="auto" w:fill="EEF4F2"/>
            <w:tcMar>
              <w:top w:w="60" w:type="dxa"/>
              <w:left w:w="110" w:type="dxa"/>
              <w:bottom w:w="60" w:type="dxa"/>
              <w:right w:w="110" w:type="dxa"/>
            </w:tcMar>
            <w:vAlign w:val="center"/>
          </w:tcPr>
          <w:p w14:paraId="7D3F33FC"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11,333</w:t>
            </w:r>
          </w:p>
        </w:tc>
      </w:tr>
      <w:tr w:rsidR="00BC1555" w14:paraId="50A8764C" w14:textId="77777777">
        <w:tc>
          <w:tcPr>
            <w:tcW w:w="2360" w:type="dxa"/>
            <w:tcMar>
              <w:top w:w="60" w:type="dxa"/>
              <w:left w:w="110" w:type="dxa"/>
              <w:bottom w:w="60" w:type="dxa"/>
              <w:right w:w="110" w:type="dxa"/>
            </w:tcMar>
            <w:vAlign w:val="center"/>
          </w:tcPr>
          <w:p w14:paraId="10798905"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Western</w:t>
            </w:r>
          </w:p>
        </w:tc>
        <w:tc>
          <w:tcPr>
            <w:tcW w:w="1500" w:type="dxa"/>
            <w:tcMar>
              <w:top w:w="60" w:type="dxa"/>
              <w:left w:w="110" w:type="dxa"/>
              <w:bottom w:w="60" w:type="dxa"/>
              <w:right w:w="110" w:type="dxa"/>
            </w:tcMar>
            <w:vAlign w:val="center"/>
          </w:tcPr>
          <w:p w14:paraId="218A3AB1"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−0.096</w:t>
            </w:r>
          </w:p>
        </w:tc>
        <w:tc>
          <w:tcPr>
            <w:tcW w:w="1400" w:type="dxa"/>
            <w:tcMar>
              <w:top w:w="60" w:type="dxa"/>
              <w:left w:w="110" w:type="dxa"/>
              <w:bottom w:w="60" w:type="dxa"/>
              <w:right w:w="110" w:type="dxa"/>
            </w:tcMar>
            <w:vAlign w:val="center"/>
          </w:tcPr>
          <w:p w14:paraId="4EFA62C7"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0.057</w:t>
            </w:r>
          </w:p>
        </w:tc>
        <w:tc>
          <w:tcPr>
            <w:tcW w:w="1400" w:type="dxa"/>
            <w:tcMar>
              <w:top w:w="60" w:type="dxa"/>
              <w:left w:w="110" w:type="dxa"/>
              <w:bottom w:w="60" w:type="dxa"/>
              <w:right w:w="110" w:type="dxa"/>
            </w:tcMar>
            <w:vAlign w:val="center"/>
          </w:tcPr>
          <w:p w14:paraId="76AC5B42"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0.233</w:t>
            </w:r>
          </w:p>
        </w:tc>
        <w:tc>
          <w:tcPr>
            <w:tcW w:w="1300" w:type="dxa"/>
            <w:tcMar>
              <w:top w:w="60" w:type="dxa"/>
              <w:left w:w="110" w:type="dxa"/>
              <w:bottom w:w="60" w:type="dxa"/>
              <w:right w:w="110" w:type="dxa"/>
            </w:tcMar>
            <w:vAlign w:val="center"/>
          </w:tcPr>
          <w:p w14:paraId="4D35F38E"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0.076</w:t>
            </w:r>
          </w:p>
        </w:tc>
        <w:tc>
          <w:tcPr>
            <w:tcW w:w="1400" w:type="dxa"/>
            <w:tcMar>
              <w:top w:w="60" w:type="dxa"/>
              <w:left w:w="110" w:type="dxa"/>
              <w:bottom w:w="60" w:type="dxa"/>
              <w:right w:w="110" w:type="dxa"/>
            </w:tcMar>
            <w:vAlign w:val="center"/>
          </w:tcPr>
          <w:p w14:paraId="29CD5CBD"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2,415</w:t>
            </w:r>
          </w:p>
        </w:tc>
      </w:tr>
    </w:tbl>
    <w:p w14:paraId="259E7C84" w14:textId="77777777" w:rsidR="00611175" w:rsidRPr="00352C77" w:rsidRDefault="007B6AAF" w:rsidP="00A623D5">
      <w:pPr>
        <w:keepNext/>
        <w:spacing w:before="120" w:after="40" w:line="36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255D5190" wp14:editId="080EC713">
            <wp:extent cx="4972050" cy="2960104"/>
            <wp:effectExtent l="0" t="0" r="0" b="0"/>
            <wp:docPr id="1612048660" name="Figure 6: Mean NDVI trends by region and year (2017–2025)" descr="Figure 6: Mean NDVI trends by region and year (2017–2025)" title="Figure 6: Mean NDVI trends by region and year (2017–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4994739" cy="2973612"/>
                    </a:xfrm>
                    <a:prstGeom prst="rect">
                      <a:avLst/>
                    </a:prstGeom>
                  </pic:spPr>
                </pic:pic>
              </a:graphicData>
            </a:graphic>
          </wp:inline>
        </w:drawing>
      </w:r>
    </w:p>
    <w:p w14:paraId="4C1B8E19" w14:textId="572ABA1F" w:rsidR="00DB0109" w:rsidRPr="00352C77" w:rsidRDefault="00611175" w:rsidP="00A623D5">
      <w:pPr>
        <w:pStyle w:val="Caption"/>
        <w:jc w:val="center"/>
        <w:rPr>
          <w:rFonts w:ascii="Times New Roman" w:hAnsi="Times New Roman" w:cs="Times New Roman"/>
        </w:rPr>
      </w:pPr>
      <w:bookmarkStart w:id="117" w:name="_Toc237884367"/>
      <w:r>
        <w:rPr>
          <w:rFonts w:ascii="Times New Roman" w:hAnsi="Times New Roman" w:cs="Times New Roman"/>
        </w:rPr>
        <w:t xml:space="preserve">Figure </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402E51">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 Mean NDVI trends by region and year (2017–2025)</w:t>
      </w:r>
      <w:bookmarkEnd w:id="117"/>
    </w:p>
    <w:p w14:paraId="58272D1F"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Figure 6 presents mean NDVI for each region across the three years. The Southern region consistently maintained the highest NDVI, with a notable increase in 2025 (0.053) relative to 2017 (−0.063) and 2022 (−0.114). The Eastern region showed a similar recovery in 2025 (−0.061) compared with 2022 (−0.117). The Dynamic Targeting and Northern regions remained relatively stable with persistently negative values, indicating more constant open-water conditions, while the Western region maintained the lowest NDVI throughout, indicating sustained dominance by open water or low vegetation.</w:t>
      </w:r>
    </w:p>
    <w:p w14:paraId="71FAE882" w14:textId="77777777" w:rsidR="00614286"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Figure 7 disaggregates the NDVI and NDWI distributions by region and reinforces the pattern seen at zone level. The Southern region displays by far the widest NDVI spread and the only substantial cluster of positive values, with outliers extending beyond 0.8, whereas the Western and Dynamic Targeting regions remain tightly clustered around slightly negative values. The corresponding NDWI panel is a near-mirror image, with the Southern region showing the lowest and most variable water signal. This marked inequality of variances across regions, with regional NDVI standard deviations ranging from about 0.057 in the Western region to 0.274 in the Southern region, is the reason Welch’s ANOVA rather than the classical ANOVA was adopted for the tests of regional differences reported in Section 4.4.1.</w:t>
      </w:r>
    </w:p>
    <w:p w14:paraId="41B6B2CC" w14:textId="77777777" w:rsidR="00614286"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This regional concentration is consistent with earlier work on East African lakes. Studies of the Lake Victoria basin have repeatedly found infestations concentrated in sheltered bays and close to </w:t>
      </w:r>
      <w:r>
        <w:rPr>
          <w:rFonts w:ascii="Times New Roman" w:hAnsi="Times New Roman" w:cs="Times New Roman"/>
        </w:rPr>
        <w:lastRenderedPageBreak/>
        <w:t>inflowing rivers rather than distributed evenly across open water (Albright et al., 2004; Gichuki et al., 2012), and the same association between shelter, nutrient inflow and macrophyte proliferation is reported in the wider review literature (</w:t>
      </w:r>
      <w:proofErr w:type="spellStart"/>
      <w:r>
        <w:rPr>
          <w:rFonts w:ascii="Times New Roman" w:hAnsi="Times New Roman" w:cs="Times New Roman"/>
        </w:rPr>
        <w:t>Villamagna</w:t>
      </w:r>
      <w:proofErr w:type="spellEnd"/>
      <w:r>
        <w:rPr>
          <w:rFonts w:ascii="Times New Roman" w:hAnsi="Times New Roman" w:cs="Times New Roman"/>
        </w:rPr>
        <w:t xml:space="preserve"> &amp; Murphy, 2010) and in studies of nutrient-enriched impoundments elsewhere in the region (Ademola et al., 2022). The Southern region of Lake Wamala, with its shallow, sheltered southern bays and its agricultural catchment, appears to occupy the same ecological niche, which strengthens the case for treating it as the principal management priority.</w:t>
      </w:r>
    </w:p>
    <w:p w14:paraId="18F6016C" w14:textId="77777777" w:rsidR="00611175" w:rsidRPr="00352C77" w:rsidRDefault="007B6AAF" w:rsidP="00A623D5">
      <w:pPr>
        <w:keepNext/>
        <w:spacing w:before="120" w:after="40" w:line="360" w:lineRule="auto"/>
        <w:jc w:val="center"/>
        <w:rPr>
          <w:rFonts w:ascii="Times New Roman" w:hAnsi="Times New Roman" w:cs="Times New Roman"/>
        </w:rPr>
      </w:pPr>
      <w:r>
        <w:rPr>
          <w:rFonts w:ascii="Times New Roman" w:hAnsi="Times New Roman" w:cs="Times New Roman"/>
          <w:noProof/>
        </w:rPr>
        <w:drawing>
          <wp:inline distT="0" distB="0" distL="0" distR="0" wp14:anchorId="39F7DB80" wp14:editId="74AC8ECB">
            <wp:extent cx="6509250" cy="2755900"/>
            <wp:effectExtent l="0" t="0" r="6350" b="6350"/>
            <wp:docPr id="1900000001" name="Figure 7: NDVI and NDWI distribution by region (box plot)" descr="Figure 7: NDVI and NDWI distribution by region (box plot)" title="Figure 7: NDVI and NDWI distribution by region (box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6531345" cy="2765254"/>
                    </a:xfrm>
                    <a:prstGeom prst="rect">
                      <a:avLst/>
                    </a:prstGeom>
                  </pic:spPr>
                </pic:pic>
              </a:graphicData>
            </a:graphic>
          </wp:inline>
        </w:drawing>
      </w:r>
    </w:p>
    <w:p w14:paraId="30A14063" w14:textId="0D795019" w:rsidR="00614286" w:rsidRPr="00352C77" w:rsidRDefault="00611175" w:rsidP="00A623D5">
      <w:pPr>
        <w:pStyle w:val="Caption"/>
        <w:jc w:val="center"/>
        <w:rPr>
          <w:rFonts w:ascii="Times New Roman" w:hAnsi="Times New Roman" w:cs="Times New Roman"/>
        </w:rPr>
      </w:pPr>
      <w:bookmarkStart w:id="118" w:name="_Toc237884368"/>
      <w:r>
        <w:rPr>
          <w:rFonts w:ascii="Times New Roman" w:hAnsi="Times New Roman" w:cs="Times New Roman"/>
        </w:rPr>
        <w:t xml:space="preserve">Figure </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402E51">
        <w:rPr>
          <w:rFonts w:ascii="Times New Roman" w:hAnsi="Times New Roman" w:cs="Times New Roman"/>
          <w:noProof/>
        </w:rPr>
        <w:t>7</w:t>
      </w:r>
      <w:r>
        <w:rPr>
          <w:rFonts w:ascii="Times New Roman" w:hAnsi="Times New Roman" w:cs="Times New Roman"/>
        </w:rPr>
        <w:fldChar w:fldCharType="end"/>
      </w:r>
      <w:r>
        <w:rPr>
          <w:rFonts w:ascii="Times New Roman" w:hAnsi="Times New Roman" w:cs="Times New Roman"/>
        </w:rPr>
        <w:t>: NDVI and NDWI distribution by region (box plot)</w:t>
      </w:r>
      <w:bookmarkEnd w:id="118"/>
    </w:p>
    <w:p w14:paraId="352FD9A0" w14:textId="77777777" w:rsidR="003F30FB" w:rsidRPr="00352C77" w:rsidRDefault="007B6AAF" w:rsidP="00A623D5">
      <w:pPr>
        <w:pStyle w:val="Heading3"/>
        <w:spacing w:line="360" w:lineRule="auto"/>
        <w:rPr>
          <w:rFonts w:ascii="Times New Roman" w:hAnsi="Times New Roman" w:cs="Times New Roman"/>
        </w:rPr>
      </w:pPr>
      <w:bookmarkStart w:id="119" w:name="_Toc237884329"/>
      <w:r>
        <w:rPr>
          <w:rFonts w:ascii="Times New Roman" w:hAnsi="Times New Roman" w:cs="Times New Roman"/>
        </w:rPr>
        <w:t>4.4.1 Test of Differences Among Regions (Hypothesis H2)</w:t>
      </w:r>
      <w:bookmarkEnd w:id="119"/>
    </w:p>
    <w:p w14:paraId="07BCA9CB" w14:textId="77777777" w:rsidR="003F30FB"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A Welch’s one-way ANOVA showed that mean NDVI differed significantly among the five regions, Welch’s </w:t>
      </w:r>
      <w:proofErr w:type="gramStart"/>
      <w:r>
        <w:rPr>
          <w:rFonts w:ascii="Times New Roman" w:hAnsi="Times New Roman" w:cs="Times New Roman"/>
        </w:rPr>
        <w:t>F(</w:t>
      </w:r>
      <w:proofErr w:type="gramEnd"/>
      <w:r>
        <w:rPr>
          <w:rFonts w:ascii="Times New Roman" w:hAnsi="Times New Roman" w:cs="Times New Roman"/>
        </w:rPr>
        <w:t xml:space="preserve">4, 10526.3) = 167.63, p &lt; .001 (classical ANOVA </w:t>
      </w:r>
      <w:proofErr w:type="gramStart"/>
      <w:r>
        <w:rPr>
          <w:rFonts w:ascii="Times New Roman" w:hAnsi="Times New Roman" w:cs="Times New Roman"/>
        </w:rPr>
        <w:t>F(</w:t>
      </w:r>
      <w:proofErr w:type="gramEnd"/>
      <w:r>
        <w:rPr>
          <w:rFonts w:ascii="Times New Roman" w:hAnsi="Times New Roman" w:cs="Times New Roman"/>
        </w:rPr>
        <w:t xml:space="preserve">4, 30291) = 341.03, p &lt; .001), and the same held for NDWI, Welch’s </w:t>
      </w:r>
      <w:proofErr w:type="gramStart"/>
      <w:r>
        <w:rPr>
          <w:rFonts w:ascii="Times New Roman" w:hAnsi="Times New Roman" w:cs="Times New Roman"/>
        </w:rPr>
        <w:t>F(</w:t>
      </w:r>
      <w:proofErr w:type="gramEnd"/>
      <w:r>
        <w:rPr>
          <w:rFonts w:ascii="Times New Roman" w:hAnsi="Times New Roman" w:cs="Times New Roman"/>
        </w:rPr>
        <w:t>4, 10237.9) = 186.44, p &lt; .001. Hypothesis H2 is therefore supported. As with zone type, the effect size was small (η² = 0.04 for NDVI), so region explains roughly four percent of the pixel-level variance. The statistical significance confirms that the higher mean NDVI of the Southern region, and the progressively lower means of the Eastern, Northern, Dynamic Targeting and Western regions, are very unlikely to have arisen by chance; the small effect size confirms that these regional contrasts, though real, are superimposed on large local heterogeneity. A Games-Howell post-hoc comparison, appropriate under unequal variances, would be expected to isolate the Southern region as the principal source of the difference, consistent with its being the only region with a positive mean NDVI.</w:t>
      </w:r>
    </w:p>
    <w:p w14:paraId="6BCA7BFA" w14:textId="77777777" w:rsidR="003F30FB"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lastRenderedPageBreak/>
        <w:t xml:space="preserve">In conclusion, the null hypothesis of no difference in mean NDVI among the five regions is rejected (Welch’s </w:t>
      </w:r>
      <w:proofErr w:type="gramStart"/>
      <w:r>
        <w:rPr>
          <w:rFonts w:ascii="Times New Roman" w:hAnsi="Times New Roman" w:cs="Times New Roman"/>
        </w:rPr>
        <w:t>F(</w:t>
      </w:r>
      <w:proofErr w:type="gramEnd"/>
      <w:r>
        <w:rPr>
          <w:rFonts w:ascii="Times New Roman" w:hAnsi="Times New Roman" w:cs="Times New Roman"/>
        </w:rPr>
        <w:t>4, 10526.3) = 167.63, p &lt; .001, η² = 0.04). Hypothesis H2 is accepted: regional differences in the weed-related spectral response are statistically significant, and the Southern region is confirmed as the principal outlier, holding the only positive regional mean NDVI in the dataset.</w:t>
      </w:r>
    </w:p>
    <w:p w14:paraId="52031E9B" w14:textId="77777777" w:rsidR="00DB0109" w:rsidRPr="00352C77" w:rsidRDefault="007B6AAF" w:rsidP="00A623D5">
      <w:pPr>
        <w:pStyle w:val="Heading2"/>
        <w:spacing w:line="360" w:lineRule="auto"/>
        <w:rPr>
          <w:rFonts w:ascii="Times New Roman" w:hAnsi="Times New Roman" w:cs="Times New Roman"/>
        </w:rPr>
      </w:pPr>
      <w:bookmarkStart w:id="120" w:name="_Toc237884330"/>
      <w:r>
        <w:rPr>
          <w:rFonts w:ascii="Times New Roman" w:hAnsi="Times New Roman" w:cs="Times New Roman"/>
        </w:rPr>
        <w:t>4.5 Temporal Trends: 2017, 2022 and 2025</w:t>
      </w:r>
      <w:bookmarkEnd w:id="120"/>
    </w:p>
    <w:p w14:paraId="5CB9F2A7"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The temporal analysis revealed significant changes across the three observation years. Mean NDVI moved from −0.037 in 2017 to −0.113 in 2022 and then to −0.072 in 2025, indicating a substantial decline in vegetation-related signal between 2017 and 2022 followed by a partial recovery by 2025. The year 2022 represents a period of reduced vegetation cover or increased open-water dominance, potentially linked to the heavy rainfall and flooding experienced in the region during 2022–2023, or to management interventions that temporarily cleared weed areas.</w:t>
      </w:r>
    </w:p>
    <w:p w14:paraId="649EE268" w14:textId="77777777" w:rsidR="009658D1" w:rsidRPr="00352C77" w:rsidRDefault="009658D1" w:rsidP="00A623D5">
      <w:pPr>
        <w:pStyle w:val="Caption"/>
        <w:keepNext/>
        <w:rPr>
          <w:rFonts w:ascii="Times New Roman" w:hAnsi="Times New Roman" w:cs="Times New Roman"/>
        </w:rPr>
      </w:pPr>
      <w:bookmarkStart w:id="121" w:name="_Toc237884354"/>
      <w:r>
        <w:rPr>
          <w:rFonts w:ascii="Times New Roman" w:hAnsi="Times New Roman" w:cs="Times New Roman"/>
        </w:rPr>
        <w:t xml:space="preserve">Table </w:t>
      </w:r>
      <w:r>
        <w:rPr>
          <w:rFonts w:ascii="Times New Roman" w:hAnsi="Times New Roman" w:cs="Times New Roman"/>
        </w:rPr>
        <w:fldChar w:fldCharType="begin"/>
      </w:r>
      <w:r>
        <w:rPr>
          <w:rFonts w:ascii="Times New Roman" w:hAnsi="Times New Roman" w:cs="Times New Roman"/>
        </w:rPr>
        <w:instrText xml:space="preserve"> SEQ Table \* ARABIC </w:instrText>
      </w:r>
      <w:r>
        <w:rPr>
          <w:rFonts w:ascii="Times New Roman" w:hAnsi="Times New Roman" w:cs="Times New Roman"/>
        </w:rPr>
        <w:fldChar w:fldCharType="separate"/>
      </w:r>
      <w:r>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 Percentage Change in Mean NDVI by Zone Type (2017 to 2022)</w:t>
      </w:r>
      <w:bookmarkEnd w:id="121"/>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60"/>
        <w:gridCol w:w="1550"/>
        <w:gridCol w:w="1550"/>
        <w:gridCol w:w="1550"/>
        <w:gridCol w:w="1550"/>
      </w:tblGrid>
      <w:tr w:rsidR="00BC1555" w14:paraId="478B3166" w14:textId="77777777">
        <w:trPr>
          <w:tblHeader/>
        </w:trPr>
        <w:tc>
          <w:tcPr>
            <w:tcW w:w="3160" w:type="dxa"/>
            <w:shd w:val="clear" w:color="auto" w:fill="2E6B5E"/>
            <w:tcMar>
              <w:top w:w="60" w:type="dxa"/>
              <w:left w:w="110" w:type="dxa"/>
              <w:bottom w:w="60" w:type="dxa"/>
              <w:right w:w="110" w:type="dxa"/>
            </w:tcMar>
            <w:vAlign w:val="center"/>
          </w:tcPr>
          <w:p w14:paraId="3E60A5A5"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b/>
                <w:bCs/>
                <w:color w:val="FFFFFF"/>
                <w:sz w:val="20"/>
                <w:szCs w:val="20"/>
              </w:rPr>
              <w:t>Zone Type</w:t>
            </w:r>
          </w:p>
        </w:tc>
        <w:tc>
          <w:tcPr>
            <w:tcW w:w="1550" w:type="dxa"/>
            <w:shd w:val="clear" w:color="auto" w:fill="2E6B5E"/>
            <w:tcMar>
              <w:top w:w="60" w:type="dxa"/>
              <w:left w:w="110" w:type="dxa"/>
              <w:bottom w:w="60" w:type="dxa"/>
              <w:right w:w="110" w:type="dxa"/>
            </w:tcMar>
            <w:vAlign w:val="center"/>
          </w:tcPr>
          <w:p w14:paraId="1CBF7A11"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b/>
                <w:bCs/>
                <w:color w:val="FFFFFF"/>
                <w:sz w:val="20"/>
                <w:szCs w:val="20"/>
              </w:rPr>
              <w:t>2017 NDVI</w:t>
            </w:r>
          </w:p>
        </w:tc>
        <w:tc>
          <w:tcPr>
            <w:tcW w:w="1550" w:type="dxa"/>
            <w:shd w:val="clear" w:color="auto" w:fill="2E6B5E"/>
            <w:tcMar>
              <w:top w:w="60" w:type="dxa"/>
              <w:left w:w="110" w:type="dxa"/>
              <w:bottom w:w="60" w:type="dxa"/>
              <w:right w:w="110" w:type="dxa"/>
            </w:tcMar>
            <w:vAlign w:val="center"/>
          </w:tcPr>
          <w:p w14:paraId="78BAB0D2"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b/>
                <w:bCs/>
                <w:color w:val="FFFFFF"/>
                <w:sz w:val="20"/>
                <w:szCs w:val="20"/>
              </w:rPr>
              <w:t>2022 NDVI</w:t>
            </w:r>
          </w:p>
        </w:tc>
        <w:tc>
          <w:tcPr>
            <w:tcW w:w="1550" w:type="dxa"/>
            <w:shd w:val="clear" w:color="auto" w:fill="2E6B5E"/>
            <w:tcMar>
              <w:top w:w="60" w:type="dxa"/>
              <w:left w:w="110" w:type="dxa"/>
              <w:bottom w:w="60" w:type="dxa"/>
              <w:right w:w="110" w:type="dxa"/>
            </w:tcMar>
            <w:vAlign w:val="center"/>
          </w:tcPr>
          <w:p w14:paraId="2D1E4F8B"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b/>
                <w:bCs/>
                <w:color w:val="FFFFFF"/>
                <w:sz w:val="20"/>
                <w:szCs w:val="20"/>
              </w:rPr>
              <w:t>Change</w:t>
            </w:r>
          </w:p>
        </w:tc>
        <w:tc>
          <w:tcPr>
            <w:tcW w:w="1550" w:type="dxa"/>
            <w:shd w:val="clear" w:color="auto" w:fill="2E6B5E"/>
            <w:tcMar>
              <w:top w:w="60" w:type="dxa"/>
              <w:left w:w="110" w:type="dxa"/>
              <w:bottom w:w="60" w:type="dxa"/>
              <w:right w:w="110" w:type="dxa"/>
            </w:tcMar>
            <w:vAlign w:val="center"/>
          </w:tcPr>
          <w:p w14:paraId="7EDE46A8"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b/>
                <w:bCs/>
                <w:color w:val="FFFFFF"/>
                <w:sz w:val="20"/>
                <w:szCs w:val="20"/>
              </w:rPr>
              <w:t>% Change</w:t>
            </w:r>
          </w:p>
        </w:tc>
      </w:tr>
      <w:tr w:rsidR="00BC1555" w14:paraId="2228DC00" w14:textId="77777777">
        <w:tc>
          <w:tcPr>
            <w:tcW w:w="3160" w:type="dxa"/>
            <w:tcMar>
              <w:top w:w="60" w:type="dxa"/>
              <w:left w:w="110" w:type="dxa"/>
              <w:bottom w:w="60" w:type="dxa"/>
              <w:right w:w="110" w:type="dxa"/>
            </w:tcMar>
            <w:vAlign w:val="center"/>
          </w:tcPr>
          <w:p w14:paraId="138A3679"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Open Water</w:t>
            </w:r>
          </w:p>
        </w:tc>
        <w:tc>
          <w:tcPr>
            <w:tcW w:w="1550" w:type="dxa"/>
            <w:tcMar>
              <w:top w:w="60" w:type="dxa"/>
              <w:left w:w="110" w:type="dxa"/>
              <w:bottom w:w="60" w:type="dxa"/>
              <w:right w:w="110" w:type="dxa"/>
            </w:tcMar>
            <w:vAlign w:val="center"/>
          </w:tcPr>
          <w:p w14:paraId="385889D6"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−0.000</w:t>
            </w:r>
          </w:p>
        </w:tc>
        <w:tc>
          <w:tcPr>
            <w:tcW w:w="1550" w:type="dxa"/>
            <w:tcMar>
              <w:top w:w="60" w:type="dxa"/>
              <w:left w:w="110" w:type="dxa"/>
              <w:bottom w:w="60" w:type="dxa"/>
              <w:right w:w="110" w:type="dxa"/>
            </w:tcMar>
            <w:vAlign w:val="center"/>
          </w:tcPr>
          <w:p w14:paraId="37ACB454"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−0.107</w:t>
            </w:r>
          </w:p>
        </w:tc>
        <w:tc>
          <w:tcPr>
            <w:tcW w:w="1550" w:type="dxa"/>
            <w:tcMar>
              <w:top w:w="60" w:type="dxa"/>
              <w:left w:w="110" w:type="dxa"/>
              <w:bottom w:w="60" w:type="dxa"/>
              <w:right w:w="110" w:type="dxa"/>
            </w:tcMar>
            <w:vAlign w:val="center"/>
          </w:tcPr>
          <w:p w14:paraId="778ECF55"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−0.106</w:t>
            </w:r>
          </w:p>
        </w:tc>
        <w:tc>
          <w:tcPr>
            <w:tcW w:w="1550" w:type="dxa"/>
            <w:tcMar>
              <w:top w:w="60" w:type="dxa"/>
              <w:left w:w="110" w:type="dxa"/>
              <w:bottom w:w="60" w:type="dxa"/>
              <w:right w:w="110" w:type="dxa"/>
            </w:tcMar>
            <w:vAlign w:val="center"/>
          </w:tcPr>
          <w:p w14:paraId="3CB4E165" w14:textId="55632D9E"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+91</w:t>
            </w:r>
            <w:r w:rsidR="00F663D9">
              <w:rPr>
                <w:rFonts w:ascii="Times New Roman" w:hAnsi="Times New Roman" w:cs="Times New Roman"/>
                <w:color w:val="000000"/>
                <w:sz w:val="20"/>
                <w:szCs w:val="20"/>
              </w:rPr>
              <w:t>.</w:t>
            </w:r>
            <w:r>
              <w:rPr>
                <w:rFonts w:ascii="Times New Roman" w:hAnsi="Times New Roman" w:cs="Times New Roman"/>
                <w:color w:val="000000"/>
                <w:sz w:val="20"/>
                <w:szCs w:val="20"/>
              </w:rPr>
              <w:t>565%</w:t>
            </w:r>
          </w:p>
        </w:tc>
      </w:tr>
      <w:tr w:rsidR="00BC1555" w14:paraId="74B47BA0" w14:textId="77777777">
        <w:tc>
          <w:tcPr>
            <w:tcW w:w="3160" w:type="dxa"/>
            <w:shd w:val="clear" w:color="auto" w:fill="EEF4F2"/>
            <w:tcMar>
              <w:top w:w="60" w:type="dxa"/>
              <w:left w:w="110" w:type="dxa"/>
              <w:bottom w:w="60" w:type="dxa"/>
              <w:right w:w="110" w:type="dxa"/>
            </w:tcMar>
            <w:vAlign w:val="center"/>
          </w:tcPr>
          <w:p w14:paraId="2FE95BAA"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No Weed Infestation Control</w:t>
            </w:r>
          </w:p>
        </w:tc>
        <w:tc>
          <w:tcPr>
            <w:tcW w:w="1550" w:type="dxa"/>
            <w:shd w:val="clear" w:color="auto" w:fill="EEF4F2"/>
            <w:tcMar>
              <w:top w:w="60" w:type="dxa"/>
              <w:left w:w="110" w:type="dxa"/>
              <w:bottom w:w="60" w:type="dxa"/>
              <w:right w:w="110" w:type="dxa"/>
            </w:tcMar>
            <w:vAlign w:val="center"/>
          </w:tcPr>
          <w:p w14:paraId="266E562A"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0.382</w:t>
            </w:r>
          </w:p>
        </w:tc>
        <w:tc>
          <w:tcPr>
            <w:tcW w:w="1550" w:type="dxa"/>
            <w:shd w:val="clear" w:color="auto" w:fill="EEF4F2"/>
            <w:tcMar>
              <w:top w:w="60" w:type="dxa"/>
              <w:left w:w="110" w:type="dxa"/>
              <w:bottom w:w="60" w:type="dxa"/>
              <w:right w:w="110" w:type="dxa"/>
            </w:tcMar>
            <w:vAlign w:val="center"/>
          </w:tcPr>
          <w:p w14:paraId="71EC45B9"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−0.071</w:t>
            </w:r>
          </w:p>
        </w:tc>
        <w:tc>
          <w:tcPr>
            <w:tcW w:w="1550" w:type="dxa"/>
            <w:shd w:val="clear" w:color="auto" w:fill="EEF4F2"/>
            <w:tcMar>
              <w:top w:w="60" w:type="dxa"/>
              <w:left w:w="110" w:type="dxa"/>
              <w:bottom w:w="60" w:type="dxa"/>
              <w:right w:w="110" w:type="dxa"/>
            </w:tcMar>
            <w:vAlign w:val="center"/>
          </w:tcPr>
          <w:p w14:paraId="103BBA74"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−0.454</w:t>
            </w:r>
          </w:p>
        </w:tc>
        <w:tc>
          <w:tcPr>
            <w:tcW w:w="1550" w:type="dxa"/>
            <w:shd w:val="clear" w:color="auto" w:fill="EEF4F2"/>
            <w:tcMar>
              <w:top w:w="60" w:type="dxa"/>
              <w:left w:w="110" w:type="dxa"/>
              <w:bottom w:w="60" w:type="dxa"/>
              <w:right w:w="110" w:type="dxa"/>
            </w:tcMar>
            <w:vAlign w:val="center"/>
          </w:tcPr>
          <w:p w14:paraId="5E6CAB83"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−118.7%</w:t>
            </w:r>
          </w:p>
        </w:tc>
      </w:tr>
      <w:tr w:rsidR="00BC1555" w14:paraId="15FA7D60" w14:textId="77777777">
        <w:tc>
          <w:tcPr>
            <w:tcW w:w="3160" w:type="dxa"/>
            <w:tcMar>
              <w:top w:w="60" w:type="dxa"/>
              <w:left w:w="110" w:type="dxa"/>
              <w:bottom w:w="60" w:type="dxa"/>
              <w:right w:w="110" w:type="dxa"/>
            </w:tcMar>
            <w:vAlign w:val="center"/>
          </w:tcPr>
          <w:p w14:paraId="3C13503E"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High Seasonal Infestation Variation</w:t>
            </w:r>
          </w:p>
        </w:tc>
        <w:tc>
          <w:tcPr>
            <w:tcW w:w="1550" w:type="dxa"/>
            <w:tcMar>
              <w:top w:w="60" w:type="dxa"/>
              <w:left w:w="110" w:type="dxa"/>
              <w:bottom w:w="60" w:type="dxa"/>
              <w:right w:w="110" w:type="dxa"/>
            </w:tcMar>
            <w:vAlign w:val="center"/>
          </w:tcPr>
          <w:p w14:paraId="4BFA3C3B"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−0.067</w:t>
            </w:r>
          </w:p>
        </w:tc>
        <w:tc>
          <w:tcPr>
            <w:tcW w:w="1550" w:type="dxa"/>
            <w:tcMar>
              <w:top w:w="60" w:type="dxa"/>
              <w:left w:w="110" w:type="dxa"/>
              <w:bottom w:w="60" w:type="dxa"/>
              <w:right w:w="110" w:type="dxa"/>
            </w:tcMar>
            <w:vAlign w:val="center"/>
          </w:tcPr>
          <w:p w14:paraId="59E577E0"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−0.121</w:t>
            </w:r>
          </w:p>
        </w:tc>
        <w:tc>
          <w:tcPr>
            <w:tcW w:w="1550" w:type="dxa"/>
            <w:tcMar>
              <w:top w:w="60" w:type="dxa"/>
              <w:left w:w="110" w:type="dxa"/>
              <w:bottom w:w="60" w:type="dxa"/>
              <w:right w:w="110" w:type="dxa"/>
            </w:tcMar>
            <w:vAlign w:val="center"/>
          </w:tcPr>
          <w:p w14:paraId="5334C16A"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−0.054</w:t>
            </w:r>
          </w:p>
        </w:tc>
        <w:tc>
          <w:tcPr>
            <w:tcW w:w="1550" w:type="dxa"/>
            <w:tcMar>
              <w:top w:w="60" w:type="dxa"/>
              <w:left w:w="110" w:type="dxa"/>
              <w:bottom w:w="60" w:type="dxa"/>
              <w:right w:w="110" w:type="dxa"/>
            </w:tcMar>
            <w:vAlign w:val="center"/>
          </w:tcPr>
          <w:p w14:paraId="29ECCEB5"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+81.0%</w:t>
            </w:r>
          </w:p>
        </w:tc>
      </w:tr>
      <w:tr w:rsidR="00BC1555" w14:paraId="6CEB08B3" w14:textId="77777777">
        <w:tc>
          <w:tcPr>
            <w:tcW w:w="3160" w:type="dxa"/>
            <w:shd w:val="clear" w:color="auto" w:fill="EEF4F2"/>
            <w:tcMar>
              <w:top w:w="60" w:type="dxa"/>
              <w:left w:w="110" w:type="dxa"/>
              <w:bottom w:w="60" w:type="dxa"/>
              <w:right w:w="110" w:type="dxa"/>
            </w:tcMar>
            <w:vAlign w:val="center"/>
          </w:tcPr>
          <w:p w14:paraId="589A2C47"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Transitional</w:t>
            </w:r>
          </w:p>
        </w:tc>
        <w:tc>
          <w:tcPr>
            <w:tcW w:w="1550" w:type="dxa"/>
            <w:shd w:val="clear" w:color="auto" w:fill="EEF4F2"/>
            <w:tcMar>
              <w:top w:w="60" w:type="dxa"/>
              <w:left w:w="110" w:type="dxa"/>
              <w:bottom w:w="60" w:type="dxa"/>
              <w:right w:w="110" w:type="dxa"/>
            </w:tcMar>
            <w:vAlign w:val="center"/>
          </w:tcPr>
          <w:p w14:paraId="2DA1859F"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−0.079</w:t>
            </w:r>
          </w:p>
        </w:tc>
        <w:tc>
          <w:tcPr>
            <w:tcW w:w="1550" w:type="dxa"/>
            <w:shd w:val="clear" w:color="auto" w:fill="EEF4F2"/>
            <w:tcMar>
              <w:top w:w="60" w:type="dxa"/>
              <w:left w:w="110" w:type="dxa"/>
              <w:bottom w:w="60" w:type="dxa"/>
              <w:right w:w="110" w:type="dxa"/>
            </w:tcMar>
            <w:vAlign w:val="center"/>
          </w:tcPr>
          <w:p w14:paraId="288FF8D5"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−0.111</w:t>
            </w:r>
          </w:p>
        </w:tc>
        <w:tc>
          <w:tcPr>
            <w:tcW w:w="1550" w:type="dxa"/>
            <w:shd w:val="clear" w:color="auto" w:fill="EEF4F2"/>
            <w:tcMar>
              <w:top w:w="60" w:type="dxa"/>
              <w:left w:w="110" w:type="dxa"/>
              <w:bottom w:w="60" w:type="dxa"/>
              <w:right w:w="110" w:type="dxa"/>
            </w:tcMar>
            <w:vAlign w:val="center"/>
          </w:tcPr>
          <w:p w14:paraId="3649D593"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−0.031</w:t>
            </w:r>
          </w:p>
        </w:tc>
        <w:tc>
          <w:tcPr>
            <w:tcW w:w="1550" w:type="dxa"/>
            <w:shd w:val="clear" w:color="auto" w:fill="EEF4F2"/>
            <w:tcMar>
              <w:top w:w="60" w:type="dxa"/>
              <w:left w:w="110" w:type="dxa"/>
              <w:bottom w:w="60" w:type="dxa"/>
              <w:right w:w="110" w:type="dxa"/>
            </w:tcMar>
            <w:vAlign w:val="center"/>
          </w:tcPr>
          <w:p w14:paraId="49934C35"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+39.2%</w:t>
            </w:r>
          </w:p>
        </w:tc>
      </w:tr>
      <w:tr w:rsidR="00BC1555" w14:paraId="621D05F1" w14:textId="77777777">
        <w:tc>
          <w:tcPr>
            <w:tcW w:w="3160" w:type="dxa"/>
            <w:tcMar>
              <w:top w:w="60" w:type="dxa"/>
              <w:left w:w="110" w:type="dxa"/>
              <w:bottom w:w="60" w:type="dxa"/>
              <w:right w:w="110" w:type="dxa"/>
            </w:tcMar>
            <w:vAlign w:val="center"/>
          </w:tcPr>
          <w:p w14:paraId="3F325903"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Very High Variation Sudd Zone</w:t>
            </w:r>
          </w:p>
        </w:tc>
        <w:tc>
          <w:tcPr>
            <w:tcW w:w="1550" w:type="dxa"/>
            <w:tcMar>
              <w:top w:w="60" w:type="dxa"/>
              <w:left w:w="110" w:type="dxa"/>
              <w:bottom w:w="60" w:type="dxa"/>
              <w:right w:w="110" w:type="dxa"/>
            </w:tcMar>
            <w:vAlign w:val="center"/>
          </w:tcPr>
          <w:p w14:paraId="098DA1C8"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−0.082</w:t>
            </w:r>
          </w:p>
        </w:tc>
        <w:tc>
          <w:tcPr>
            <w:tcW w:w="1550" w:type="dxa"/>
            <w:tcMar>
              <w:top w:w="60" w:type="dxa"/>
              <w:left w:w="110" w:type="dxa"/>
              <w:bottom w:w="60" w:type="dxa"/>
              <w:right w:w="110" w:type="dxa"/>
            </w:tcMar>
            <w:vAlign w:val="center"/>
          </w:tcPr>
          <w:p w14:paraId="19843965"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−0.113</w:t>
            </w:r>
          </w:p>
        </w:tc>
        <w:tc>
          <w:tcPr>
            <w:tcW w:w="1550" w:type="dxa"/>
            <w:tcMar>
              <w:top w:w="60" w:type="dxa"/>
              <w:left w:w="110" w:type="dxa"/>
              <w:bottom w:w="60" w:type="dxa"/>
              <w:right w:w="110" w:type="dxa"/>
            </w:tcMar>
            <w:vAlign w:val="center"/>
          </w:tcPr>
          <w:p w14:paraId="009A92F7"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−0.032</w:t>
            </w:r>
          </w:p>
        </w:tc>
        <w:tc>
          <w:tcPr>
            <w:tcW w:w="1550" w:type="dxa"/>
            <w:tcMar>
              <w:top w:w="60" w:type="dxa"/>
              <w:left w:w="110" w:type="dxa"/>
              <w:bottom w:w="60" w:type="dxa"/>
              <w:right w:w="110" w:type="dxa"/>
            </w:tcMar>
            <w:vAlign w:val="center"/>
          </w:tcPr>
          <w:p w14:paraId="4504B4D8"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+38.7%</w:t>
            </w:r>
          </w:p>
        </w:tc>
      </w:tr>
      <w:tr w:rsidR="00BC1555" w14:paraId="73CF760E" w14:textId="77777777">
        <w:tc>
          <w:tcPr>
            <w:tcW w:w="3160" w:type="dxa"/>
            <w:shd w:val="clear" w:color="auto" w:fill="EEF4F2"/>
            <w:tcMar>
              <w:top w:w="60" w:type="dxa"/>
              <w:left w:w="110" w:type="dxa"/>
              <w:bottom w:w="60" w:type="dxa"/>
              <w:right w:w="110" w:type="dxa"/>
            </w:tcMar>
            <w:vAlign w:val="center"/>
          </w:tcPr>
          <w:p w14:paraId="255D2BFE"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Near Shore</w:t>
            </w:r>
          </w:p>
        </w:tc>
        <w:tc>
          <w:tcPr>
            <w:tcW w:w="1550" w:type="dxa"/>
            <w:shd w:val="clear" w:color="auto" w:fill="EEF4F2"/>
            <w:tcMar>
              <w:top w:w="60" w:type="dxa"/>
              <w:left w:w="110" w:type="dxa"/>
              <w:bottom w:w="60" w:type="dxa"/>
              <w:right w:w="110" w:type="dxa"/>
            </w:tcMar>
            <w:vAlign w:val="center"/>
          </w:tcPr>
          <w:p w14:paraId="026D8465"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−0.097</w:t>
            </w:r>
          </w:p>
        </w:tc>
        <w:tc>
          <w:tcPr>
            <w:tcW w:w="1550" w:type="dxa"/>
            <w:shd w:val="clear" w:color="auto" w:fill="EEF4F2"/>
            <w:tcMar>
              <w:top w:w="60" w:type="dxa"/>
              <w:left w:w="110" w:type="dxa"/>
              <w:bottom w:w="60" w:type="dxa"/>
              <w:right w:w="110" w:type="dxa"/>
            </w:tcMar>
            <w:vAlign w:val="center"/>
          </w:tcPr>
          <w:p w14:paraId="3E7CD75B"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−0.124</w:t>
            </w:r>
          </w:p>
        </w:tc>
        <w:tc>
          <w:tcPr>
            <w:tcW w:w="1550" w:type="dxa"/>
            <w:shd w:val="clear" w:color="auto" w:fill="EEF4F2"/>
            <w:tcMar>
              <w:top w:w="60" w:type="dxa"/>
              <w:left w:w="110" w:type="dxa"/>
              <w:bottom w:w="60" w:type="dxa"/>
              <w:right w:w="110" w:type="dxa"/>
            </w:tcMar>
            <w:vAlign w:val="center"/>
          </w:tcPr>
          <w:p w14:paraId="565E8E88"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−0.027</w:t>
            </w:r>
          </w:p>
        </w:tc>
        <w:tc>
          <w:tcPr>
            <w:tcW w:w="1550" w:type="dxa"/>
            <w:shd w:val="clear" w:color="auto" w:fill="EEF4F2"/>
            <w:tcMar>
              <w:top w:w="60" w:type="dxa"/>
              <w:left w:w="110" w:type="dxa"/>
              <w:bottom w:w="60" w:type="dxa"/>
              <w:right w:w="110" w:type="dxa"/>
            </w:tcMar>
            <w:vAlign w:val="center"/>
          </w:tcPr>
          <w:p w14:paraId="048EEB66"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+27.7%</w:t>
            </w:r>
          </w:p>
        </w:tc>
      </w:tr>
      <w:tr w:rsidR="00BC1555" w14:paraId="4C29A7A3" w14:textId="77777777">
        <w:tc>
          <w:tcPr>
            <w:tcW w:w="3160" w:type="dxa"/>
            <w:tcMar>
              <w:top w:w="60" w:type="dxa"/>
              <w:left w:w="110" w:type="dxa"/>
              <w:bottom w:w="60" w:type="dxa"/>
              <w:right w:w="110" w:type="dxa"/>
            </w:tcMar>
            <w:vAlign w:val="center"/>
          </w:tcPr>
          <w:p w14:paraId="0971B62F"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Excessive Weed Infestation Hotspot</w:t>
            </w:r>
          </w:p>
        </w:tc>
        <w:tc>
          <w:tcPr>
            <w:tcW w:w="1550" w:type="dxa"/>
            <w:tcMar>
              <w:top w:w="60" w:type="dxa"/>
              <w:left w:w="110" w:type="dxa"/>
              <w:bottom w:w="60" w:type="dxa"/>
              <w:right w:w="110" w:type="dxa"/>
            </w:tcMar>
            <w:vAlign w:val="center"/>
          </w:tcPr>
          <w:p w14:paraId="6A66E0BE"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−0.108</w:t>
            </w:r>
          </w:p>
        </w:tc>
        <w:tc>
          <w:tcPr>
            <w:tcW w:w="1550" w:type="dxa"/>
            <w:tcMar>
              <w:top w:w="60" w:type="dxa"/>
              <w:left w:w="110" w:type="dxa"/>
              <w:bottom w:w="60" w:type="dxa"/>
              <w:right w:w="110" w:type="dxa"/>
            </w:tcMar>
            <w:vAlign w:val="center"/>
          </w:tcPr>
          <w:p w14:paraId="07C8D7A8"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−0.123</w:t>
            </w:r>
          </w:p>
        </w:tc>
        <w:tc>
          <w:tcPr>
            <w:tcW w:w="1550" w:type="dxa"/>
            <w:tcMar>
              <w:top w:w="60" w:type="dxa"/>
              <w:left w:w="110" w:type="dxa"/>
              <w:bottom w:w="60" w:type="dxa"/>
              <w:right w:w="110" w:type="dxa"/>
            </w:tcMar>
            <w:vAlign w:val="center"/>
          </w:tcPr>
          <w:p w14:paraId="3F05FA75"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−0.015</w:t>
            </w:r>
          </w:p>
        </w:tc>
        <w:tc>
          <w:tcPr>
            <w:tcW w:w="1550" w:type="dxa"/>
            <w:tcMar>
              <w:top w:w="60" w:type="dxa"/>
              <w:left w:w="110" w:type="dxa"/>
              <w:bottom w:w="60" w:type="dxa"/>
              <w:right w:w="110" w:type="dxa"/>
            </w:tcMar>
            <w:vAlign w:val="center"/>
          </w:tcPr>
          <w:p w14:paraId="63663DB5"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+14.3%</w:t>
            </w:r>
          </w:p>
        </w:tc>
      </w:tr>
    </w:tbl>
    <w:p w14:paraId="73C2524C" w14:textId="77777777" w:rsidR="00DB0109" w:rsidRPr="00414D2A"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Note. The percentage change shown for the Open Water zone is computed against a 2017 mean NDVI of −0.0001, a value indistinguishable from zero. Division by a near-zero baseline inflates the ratio without adding meaning, so the figure of +91,565% (in which the comma is a </w:t>
      </w:r>
      <w:proofErr w:type="gramStart"/>
      <w:r>
        <w:rPr>
          <w:rFonts w:ascii="Times New Roman" w:hAnsi="Times New Roman" w:cs="Times New Roman"/>
        </w:rPr>
        <w:t>thousands</w:t>
      </w:r>
      <w:proofErr w:type="gramEnd"/>
      <w:r>
        <w:rPr>
          <w:rFonts w:ascii="Times New Roman" w:hAnsi="Times New Roman" w:cs="Times New Roman"/>
        </w:rPr>
        <w:t xml:space="preserve"> separator) should not be read as an ecological signal; the absolute change of −0.106 is the meaningful quantity. The same caution applies to any percentage computed on an index that legitimately crosses zero.</w:t>
      </w:r>
    </w:p>
    <w:p w14:paraId="00DC2AAB" w14:textId="77777777" w:rsidR="00B5379C" w:rsidRDefault="00B5379C" w:rsidP="00A623D5">
      <w:pPr>
        <w:spacing w:after="160" w:line="360" w:lineRule="auto"/>
        <w:jc w:val="both"/>
        <w:rPr>
          <w:rFonts w:ascii="Times New Roman" w:hAnsi="Times New Roman" w:cs="Times New Roman"/>
        </w:rPr>
      </w:pPr>
    </w:p>
    <w:p w14:paraId="195D9BBE"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lastRenderedPageBreak/>
        <w:t>The most dramatic relative change occurred in the Open Water zone, where mean NDVI shifted from near zero (−0.0001) in 2017 to −0.107 in 2022. The No Weed Infestation Control zone shifted even more strikingly, from a strongly positive mean (0.382) in 2017 to a negative value (−0.071) in 2022, suggesting that areas classified as controlled in 2017 underwent significant ecological change or reclassification by 2022. The High Seasonal Infestation Variation zone showed an 81% increase in negativity, the Transitional zone 39.2% and the Near Shore zone 27.7%.</w:t>
      </w:r>
    </w:p>
    <w:p w14:paraId="372C95A7" w14:textId="77777777" w:rsidR="009658D1" w:rsidRPr="00352C77" w:rsidRDefault="009658D1" w:rsidP="00A623D5">
      <w:pPr>
        <w:pStyle w:val="Caption"/>
        <w:keepNext/>
        <w:rPr>
          <w:rFonts w:ascii="Times New Roman" w:hAnsi="Times New Roman" w:cs="Times New Roman"/>
        </w:rPr>
      </w:pPr>
      <w:bookmarkStart w:id="122" w:name="_Toc237884355"/>
      <w:r>
        <w:rPr>
          <w:rFonts w:ascii="Times New Roman" w:hAnsi="Times New Roman" w:cs="Times New Roman"/>
        </w:rPr>
        <w:t xml:space="preserve">Table </w:t>
      </w:r>
      <w:r>
        <w:rPr>
          <w:rFonts w:ascii="Times New Roman" w:hAnsi="Times New Roman" w:cs="Times New Roman"/>
        </w:rPr>
        <w:fldChar w:fldCharType="begin"/>
      </w:r>
      <w:r>
        <w:rPr>
          <w:rFonts w:ascii="Times New Roman" w:hAnsi="Times New Roman" w:cs="Times New Roman"/>
        </w:rPr>
        <w:instrText xml:space="preserve"> SEQ Table \* ARABIC </w:instrText>
      </w:r>
      <w:r>
        <w:rPr>
          <w:rFonts w:ascii="Times New Roman" w:hAnsi="Times New Roman" w:cs="Times New Roman"/>
        </w:rPr>
        <w:fldChar w:fldCharType="separate"/>
      </w:r>
      <w:r>
        <w:rPr>
          <w:rFonts w:ascii="Times New Roman" w:hAnsi="Times New Roman" w:cs="Times New Roman"/>
          <w:noProof/>
        </w:rPr>
        <w:t>7</w:t>
      </w:r>
      <w:r>
        <w:rPr>
          <w:rFonts w:ascii="Times New Roman" w:hAnsi="Times New Roman" w:cs="Times New Roman"/>
        </w:rPr>
        <w:fldChar w:fldCharType="end"/>
      </w:r>
      <w:r>
        <w:rPr>
          <w:rFonts w:ascii="Times New Roman" w:hAnsi="Times New Roman" w:cs="Times New Roman"/>
        </w:rPr>
        <w:t>: Percentage Change in Mean NDVI by Zone Type (2022 to 2025)</w:t>
      </w:r>
      <w:bookmarkEnd w:id="122"/>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60"/>
        <w:gridCol w:w="1550"/>
        <w:gridCol w:w="1550"/>
        <w:gridCol w:w="1550"/>
        <w:gridCol w:w="1550"/>
      </w:tblGrid>
      <w:tr w:rsidR="00BC1555" w14:paraId="25E95759" w14:textId="77777777">
        <w:trPr>
          <w:tblHeader/>
        </w:trPr>
        <w:tc>
          <w:tcPr>
            <w:tcW w:w="3160" w:type="dxa"/>
            <w:shd w:val="clear" w:color="auto" w:fill="2E6B5E"/>
            <w:tcMar>
              <w:top w:w="60" w:type="dxa"/>
              <w:left w:w="110" w:type="dxa"/>
              <w:bottom w:w="60" w:type="dxa"/>
              <w:right w:w="110" w:type="dxa"/>
            </w:tcMar>
            <w:vAlign w:val="center"/>
          </w:tcPr>
          <w:p w14:paraId="4475ED8A"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b/>
                <w:bCs/>
                <w:color w:val="FFFFFF"/>
                <w:sz w:val="20"/>
                <w:szCs w:val="20"/>
              </w:rPr>
              <w:t>Zone Type</w:t>
            </w:r>
          </w:p>
        </w:tc>
        <w:tc>
          <w:tcPr>
            <w:tcW w:w="1550" w:type="dxa"/>
            <w:shd w:val="clear" w:color="auto" w:fill="2E6B5E"/>
            <w:tcMar>
              <w:top w:w="60" w:type="dxa"/>
              <w:left w:w="110" w:type="dxa"/>
              <w:bottom w:w="60" w:type="dxa"/>
              <w:right w:w="110" w:type="dxa"/>
            </w:tcMar>
            <w:vAlign w:val="center"/>
          </w:tcPr>
          <w:p w14:paraId="7B269C66"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b/>
                <w:bCs/>
                <w:color w:val="FFFFFF"/>
                <w:sz w:val="20"/>
                <w:szCs w:val="20"/>
              </w:rPr>
              <w:t>2022 NDVI</w:t>
            </w:r>
          </w:p>
        </w:tc>
        <w:tc>
          <w:tcPr>
            <w:tcW w:w="1550" w:type="dxa"/>
            <w:shd w:val="clear" w:color="auto" w:fill="2E6B5E"/>
            <w:tcMar>
              <w:top w:w="60" w:type="dxa"/>
              <w:left w:w="110" w:type="dxa"/>
              <w:bottom w:w="60" w:type="dxa"/>
              <w:right w:w="110" w:type="dxa"/>
            </w:tcMar>
            <w:vAlign w:val="center"/>
          </w:tcPr>
          <w:p w14:paraId="134AEA05"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b/>
                <w:bCs/>
                <w:color w:val="FFFFFF"/>
                <w:sz w:val="20"/>
                <w:szCs w:val="20"/>
              </w:rPr>
              <w:t>2025 NDVI</w:t>
            </w:r>
          </w:p>
        </w:tc>
        <w:tc>
          <w:tcPr>
            <w:tcW w:w="1550" w:type="dxa"/>
            <w:shd w:val="clear" w:color="auto" w:fill="2E6B5E"/>
            <w:tcMar>
              <w:top w:w="60" w:type="dxa"/>
              <w:left w:w="110" w:type="dxa"/>
              <w:bottom w:w="60" w:type="dxa"/>
              <w:right w:w="110" w:type="dxa"/>
            </w:tcMar>
            <w:vAlign w:val="center"/>
          </w:tcPr>
          <w:p w14:paraId="3C008A1F"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b/>
                <w:bCs/>
                <w:color w:val="FFFFFF"/>
                <w:sz w:val="20"/>
                <w:szCs w:val="20"/>
              </w:rPr>
              <w:t>Change</w:t>
            </w:r>
          </w:p>
        </w:tc>
        <w:tc>
          <w:tcPr>
            <w:tcW w:w="1550" w:type="dxa"/>
            <w:shd w:val="clear" w:color="auto" w:fill="2E6B5E"/>
            <w:tcMar>
              <w:top w:w="60" w:type="dxa"/>
              <w:left w:w="110" w:type="dxa"/>
              <w:bottom w:w="60" w:type="dxa"/>
              <w:right w:w="110" w:type="dxa"/>
            </w:tcMar>
            <w:vAlign w:val="center"/>
          </w:tcPr>
          <w:p w14:paraId="7BBFABF6"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b/>
                <w:bCs/>
                <w:color w:val="FFFFFF"/>
                <w:sz w:val="20"/>
                <w:szCs w:val="20"/>
              </w:rPr>
              <w:t>% Change</w:t>
            </w:r>
          </w:p>
        </w:tc>
      </w:tr>
      <w:tr w:rsidR="00BC1555" w14:paraId="4436618F" w14:textId="77777777">
        <w:tc>
          <w:tcPr>
            <w:tcW w:w="3160" w:type="dxa"/>
            <w:tcMar>
              <w:top w:w="60" w:type="dxa"/>
              <w:left w:w="110" w:type="dxa"/>
              <w:bottom w:w="60" w:type="dxa"/>
              <w:right w:w="110" w:type="dxa"/>
            </w:tcMar>
            <w:vAlign w:val="center"/>
          </w:tcPr>
          <w:p w14:paraId="23823683"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Open Water</w:t>
            </w:r>
          </w:p>
        </w:tc>
        <w:tc>
          <w:tcPr>
            <w:tcW w:w="1550" w:type="dxa"/>
            <w:tcMar>
              <w:top w:w="60" w:type="dxa"/>
              <w:left w:w="110" w:type="dxa"/>
              <w:bottom w:w="60" w:type="dxa"/>
              <w:right w:w="110" w:type="dxa"/>
            </w:tcMar>
            <w:vAlign w:val="center"/>
          </w:tcPr>
          <w:p w14:paraId="5571FE62"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−0.107</w:t>
            </w:r>
          </w:p>
        </w:tc>
        <w:tc>
          <w:tcPr>
            <w:tcW w:w="1550" w:type="dxa"/>
            <w:tcMar>
              <w:top w:w="60" w:type="dxa"/>
              <w:left w:w="110" w:type="dxa"/>
              <w:bottom w:w="60" w:type="dxa"/>
              <w:right w:w="110" w:type="dxa"/>
            </w:tcMar>
            <w:vAlign w:val="center"/>
          </w:tcPr>
          <w:p w14:paraId="1138C853"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−0.002</w:t>
            </w:r>
          </w:p>
        </w:tc>
        <w:tc>
          <w:tcPr>
            <w:tcW w:w="1550" w:type="dxa"/>
            <w:tcMar>
              <w:top w:w="60" w:type="dxa"/>
              <w:left w:w="110" w:type="dxa"/>
              <w:bottom w:w="60" w:type="dxa"/>
              <w:right w:w="110" w:type="dxa"/>
            </w:tcMar>
            <w:vAlign w:val="center"/>
          </w:tcPr>
          <w:p w14:paraId="4A69E002"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+0.104</w:t>
            </w:r>
          </w:p>
        </w:tc>
        <w:tc>
          <w:tcPr>
            <w:tcW w:w="1550" w:type="dxa"/>
            <w:tcMar>
              <w:top w:w="60" w:type="dxa"/>
              <w:left w:w="110" w:type="dxa"/>
              <w:bottom w:w="60" w:type="dxa"/>
              <w:right w:w="110" w:type="dxa"/>
            </w:tcMar>
            <w:vAlign w:val="center"/>
          </w:tcPr>
          <w:p w14:paraId="5AC38DFB"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−98.0%</w:t>
            </w:r>
          </w:p>
        </w:tc>
      </w:tr>
      <w:tr w:rsidR="00BC1555" w14:paraId="21EDBA3F" w14:textId="77777777">
        <w:tc>
          <w:tcPr>
            <w:tcW w:w="3160" w:type="dxa"/>
            <w:shd w:val="clear" w:color="auto" w:fill="EEF4F2"/>
            <w:tcMar>
              <w:top w:w="60" w:type="dxa"/>
              <w:left w:w="110" w:type="dxa"/>
              <w:bottom w:w="60" w:type="dxa"/>
              <w:right w:w="110" w:type="dxa"/>
            </w:tcMar>
            <w:vAlign w:val="center"/>
          </w:tcPr>
          <w:p w14:paraId="541C34E5"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Transitional</w:t>
            </w:r>
          </w:p>
        </w:tc>
        <w:tc>
          <w:tcPr>
            <w:tcW w:w="1550" w:type="dxa"/>
            <w:shd w:val="clear" w:color="auto" w:fill="EEF4F2"/>
            <w:tcMar>
              <w:top w:w="60" w:type="dxa"/>
              <w:left w:w="110" w:type="dxa"/>
              <w:bottom w:w="60" w:type="dxa"/>
              <w:right w:w="110" w:type="dxa"/>
            </w:tcMar>
            <w:vAlign w:val="center"/>
          </w:tcPr>
          <w:p w14:paraId="59262881"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−0.111</w:t>
            </w:r>
          </w:p>
        </w:tc>
        <w:tc>
          <w:tcPr>
            <w:tcW w:w="1550" w:type="dxa"/>
            <w:shd w:val="clear" w:color="auto" w:fill="EEF4F2"/>
            <w:tcMar>
              <w:top w:w="60" w:type="dxa"/>
              <w:left w:w="110" w:type="dxa"/>
              <w:bottom w:w="60" w:type="dxa"/>
              <w:right w:w="110" w:type="dxa"/>
            </w:tcMar>
            <w:vAlign w:val="center"/>
          </w:tcPr>
          <w:p w14:paraId="27ECCB9C"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−0.058</w:t>
            </w:r>
          </w:p>
        </w:tc>
        <w:tc>
          <w:tcPr>
            <w:tcW w:w="1550" w:type="dxa"/>
            <w:shd w:val="clear" w:color="auto" w:fill="EEF4F2"/>
            <w:tcMar>
              <w:top w:w="60" w:type="dxa"/>
              <w:left w:w="110" w:type="dxa"/>
              <w:bottom w:w="60" w:type="dxa"/>
              <w:right w:w="110" w:type="dxa"/>
            </w:tcMar>
            <w:vAlign w:val="center"/>
          </w:tcPr>
          <w:p w14:paraId="424BE4FB"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+0.053</w:t>
            </w:r>
          </w:p>
        </w:tc>
        <w:tc>
          <w:tcPr>
            <w:tcW w:w="1550" w:type="dxa"/>
            <w:shd w:val="clear" w:color="auto" w:fill="EEF4F2"/>
            <w:tcMar>
              <w:top w:w="60" w:type="dxa"/>
              <w:left w:w="110" w:type="dxa"/>
              <w:bottom w:w="60" w:type="dxa"/>
              <w:right w:w="110" w:type="dxa"/>
            </w:tcMar>
            <w:vAlign w:val="center"/>
          </w:tcPr>
          <w:p w14:paraId="749C4BB2"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−47.6%</w:t>
            </w:r>
          </w:p>
        </w:tc>
      </w:tr>
      <w:tr w:rsidR="00BC1555" w14:paraId="27995DE8" w14:textId="77777777">
        <w:tc>
          <w:tcPr>
            <w:tcW w:w="3160" w:type="dxa"/>
            <w:tcMar>
              <w:top w:w="60" w:type="dxa"/>
              <w:left w:w="110" w:type="dxa"/>
              <w:bottom w:w="60" w:type="dxa"/>
              <w:right w:w="110" w:type="dxa"/>
            </w:tcMar>
            <w:vAlign w:val="center"/>
          </w:tcPr>
          <w:p w14:paraId="3FE29BAD"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Near Shore</w:t>
            </w:r>
          </w:p>
        </w:tc>
        <w:tc>
          <w:tcPr>
            <w:tcW w:w="1550" w:type="dxa"/>
            <w:tcMar>
              <w:top w:w="60" w:type="dxa"/>
              <w:left w:w="110" w:type="dxa"/>
              <w:bottom w:w="60" w:type="dxa"/>
              <w:right w:w="110" w:type="dxa"/>
            </w:tcMar>
            <w:vAlign w:val="center"/>
          </w:tcPr>
          <w:p w14:paraId="737B1469"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−0.124</w:t>
            </w:r>
          </w:p>
        </w:tc>
        <w:tc>
          <w:tcPr>
            <w:tcW w:w="1550" w:type="dxa"/>
            <w:tcMar>
              <w:top w:w="60" w:type="dxa"/>
              <w:left w:w="110" w:type="dxa"/>
              <w:bottom w:w="60" w:type="dxa"/>
              <w:right w:w="110" w:type="dxa"/>
            </w:tcMar>
            <w:vAlign w:val="center"/>
          </w:tcPr>
          <w:p w14:paraId="53CAF4CF"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−0.080</w:t>
            </w:r>
          </w:p>
        </w:tc>
        <w:tc>
          <w:tcPr>
            <w:tcW w:w="1550" w:type="dxa"/>
            <w:tcMar>
              <w:top w:w="60" w:type="dxa"/>
              <w:left w:w="110" w:type="dxa"/>
              <w:bottom w:w="60" w:type="dxa"/>
              <w:right w:w="110" w:type="dxa"/>
            </w:tcMar>
            <w:vAlign w:val="center"/>
          </w:tcPr>
          <w:p w14:paraId="2C1E7BFF"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+0.044</w:t>
            </w:r>
          </w:p>
        </w:tc>
        <w:tc>
          <w:tcPr>
            <w:tcW w:w="1550" w:type="dxa"/>
            <w:tcMar>
              <w:top w:w="60" w:type="dxa"/>
              <w:left w:w="110" w:type="dxa"/>
              <w:bottom w:w="60" w:type="dxa"/>
              <w:right w:w="110" w:type="dxa"/>
            </w:tcMar>
            <w:vAlign w:val="center"/>
          </w:tcPr>
          <w:p w14:paraId="2887B477"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−35.7%</w:t>
            </w:r>
          </w:p>
        </w:tc>
      </w:tr>
      <w:tr w:rsidR="00BC1555" w14:paraId="3F2A35DA" w14:textId="77777777">
        <w:tc>
          <w:tcPr>
            <w:tcW w:w="3160" w:type="dxa"/>
            <w:shd w:val="clear" w:color="auto" w:fill="EEF4F2"/>
            <w:tcMar>
              <w:top w:w="60" w:type="dxa"/>
              <w:left w:w="110" w:type="dxa"/>
              <w:bottom w:w="60" w:type="dxa"/>
              <w:right w:w="110" w:type="dxa"/>
            </w:tcMar>
            <w:vAlign w:val="center"/>
          </w:tcPr>
          <w:p w14:paraId="4C5E27BC"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Excessive Weed Infestation Hotspot</w:t>
            </w:r>
          </w:p>
        </w:tc>
        <w:tc>
          <w:tcPr>
            <w:tcW w:w="1550" w:type="dxa"/>
            <w:shd w:val="clear" w:color="auto" w:fill="EEF4F2"/>
            <w:tcMar>
              <w:top w:w="60" w:type="dxa"/>
              <w:left w:w="110" w:type="dxa"/>
              <w:bottom w:w="60" w:type="dxa"/>
              <w:right w:w="110" w:type="dxa"/>
            </w:tcMar>
            <w:vAlign w:val="center"/>
          </w:tcPr>
          <w:p w14:paraId="53273B53"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−0.123</w:t>
            </w:r>
          </w:p>
        </w:tc>
        <w:tc>
          <w:tcPr>
            <w:tcW w:w="1550" w:type="dxa"/>
            <w:shd w:val="clear" w:color="auto" w:fill="EEF4F2"/>
            <w:tcMar>
              <w:top w:w="60" w:type="dxa"/>
              <w:left w:w="110" w:type="dxa"/>
              <w:bottom w:w="60" w:type="dxa"/>
              <w:right w:w="110" w:type="dxa"/>
            </w:tcMar>
            <w:vAlign w:val="center"/>
          </w:tcPr>
          <w:p w14:paraId="231BCBCD"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−0.107</w:t>
            </w:r>
          </w:p>
        </w:tc>
        <w:tc>
          <w:tcPr>
            <w:tcW w:w="1550" w:type="dxa"/>
            <w:shd w:val="clear" w:color="auto" w:fill="EEF4F2"/>
            <w:tcMar>
              <w:top w:w="60" w:type="dxa"/>
              <w:left w:w="110" w:type="dxa"/>
              <w:bottom w:w="60" w:type="dxa"/>
              <w:right w:w="110" w:type="dxa"/>
            </w:tcMar>
            <w:vAlign w:val="center"/>
          </w:tcPr>
          <w:p w14:paraId="7C66397B"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+0.016</w:t>
            </w:r>
          </w:p>
        </w:tc>
        <w:tc>
          <w:tcPr>
            <w:tcW w:w="1550" w:type="dxa"/>
            <w:shd w:val="clear" w:color="auto" w:fill="EEF4F2"/>
            <w:tcMar>
              <w:top w:w="60" w:type="dxa"/>
              <w:left w:w="110" w:type="dxa"/>
              <w:bottom w:w="60" w:type="dxa"/>
              <w:right w:w="110" w:type="dxa"/>
            </w:tcMar>
            <w:vAlign w:val="center"/>
          </w:tcPr>
          <w:p w14:paraId="78B824DB"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−13.3%</w:t>
            </w:r>
          </w:p>
        </w:tc>
      </w:tr>
      <w:tr w:rsidR="00BC1555" w14:paraId="05E837FC" w14:textId="77777777">
        <w:tc>
          <w:tcPr>
            <w:tcW w:w="3160" w:type="dxa"/>
            <w:tcMar>
              <w:top w:w="60" w:type="dxa"/>
              <w:left w:w="110" w:type="dxa"/>
              <w:bottom w:w="60" w:type="dxa"/>
              <w:right w:w="110" w:type="dxa"/>
            </w:tcMar>
            <w:vAlign w:val="center"/>
          </w:tcPr>
          <w:p w14:paraId="5FD7B1C2"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High Seasonal Infestation Variation</w:t>
            </w:r>
          </w:p>
        </w:tc>
        <w:tc>
          <w:tcPr>
            <w:tcW w:w="1550" w:type="dxa"/>
            <w:tcMar>
              <w:top w:w="60" w:type="dxa"/>
              <w:left w:w="110" w:type="dxa"/>
              <w:bottom w:w="60" w:type="dxa"/>
              <w:right w:w="110" w:type="dxa"/>
            </w:tcMar>
            <w:vAlign w:val="center"/>
          </w:tcPr>
          <w:p w14:paraId="70CB398A"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−0.121</w:t>
            </w:r>
          </w:p>
        </w:tc>
        <w:tc>
          <w:tcPr>
            <w:tcW w:w="1550" w:type="dxa"/>
            <w:tcMar>
              <w:top w:w="60" w:type="dxa"/>
              <w:left w:w="110" w:type="dxa"/>
              <w:bottom w:w="60" w:type="dxa"/>
              <w:right w:w="110" w:type="dxa"/>
            </w:tcMar>
            <w:vAlign w:val="center"/>
          </w:tcPr>
          <w:p w14:paraId="3F6B49B6"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−0.114</w:t>
            </w:r>
          </w:p>
        </w:tc>
        <w:tc>
          <w:tcPr>
            <w:tcW w:w="1550" w:type="dxa"/>
            <w:tcMar>
              <w:top w:w="60" w:type="dxa"/>
              <w:left w:w="110" w:type="dxa"/>
              <w:bottom w:w="60" w:type="dxa"/>
              <w:right w:w="110" w:type="dxa"/>
            </w:tcMar>
            <w:vAlign w:val="center"/>
          </w:tcPr>
          <w:p w14:paraId="11F79839"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+0.007</w:t>
            </w:r>
          </w:p>
        </w:tc>
        <w:tc>
          <w:tcPr>
            <w:tcW w:w="1550" w:type="dxa"/>
            <w:tcMar>
              <w:top w:w="60" w:type="dxa"/>
              <w:left w:w="110" w:type="dxa"/>
              <w:bottom w:w="60" w:type="dxa"/>
              <w:right w:w="110" w:type="dxa"/>
            </w:tcMar>
            <w:vAlign w:val="center"/>
          </w:tcPr>
          <w:p w14:paraId="629772A9"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−5.4%</w:t>
            </w:r>
          </w:p>
        </w:tc>
      </w:tr>
      <w:tr w:rsidR="00BC1555" w14:paraId="15A7F11D" w14:textId="77777777">
        <w:tc>
          <w:tcPr>
            <w:tcW w:w="3160" w:type="dxa"/>
            <w:shd w:val="clear" w:color="auto" w:fill="EEF4F2"/>
            <w:tcMar>
              <w:top w:w="60" w:type="dxa"/>
              <w:left w:w="110" w:type="dxa"/>
              <w:bottom w:w="60" w:type="dxa"/>
              <w:right w:w="110" w:type="dxa"/>
            </w:tcMar>
            <w:vAlign w:val="center"/>
          </w:tcPr>
          <w:p w14:paraId="6A2499EA"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Very High Variation Sudd Zone</w:t>
            </w:r>
          </w:p>
        </w:tc>
        <w:tc>
          <w:tcPr>
            <w:tcW w:w="1550" w:type="dxa"/>
            <w:shd w:val="clear" w:color="auto" w:fill="EEF4F2"/>
            <w:tcMar>
              <w:top w:w="60" w:type="dxa"/>
              <w:left w:w="110" w:type="dxa"/>
              <w:bottom w:w="60" w:type="dxa"/>
              <w:right w:w="110" w:type="dxa"/>
            </w:tcMar>
            <w:vAlign w:val="center"/>
          </w:tcPr>
          <w:p w14:paraId="193188FE"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−0.113</w:t>
            </w:r>
          </w:p>
        </w:tc>
        <w:tc>
          <w:tcPr>
            <w:tcW w:w="1550" w:type="dxa"/>
            <w:shd w:val="clear" w:color="auto" w:fill="EEF4F2"/>
            <w:tcMar>
              <w:top w:w="60" w:type="dxa"/>
              <w:left w:w="110" w:type="dxa"/>
              <w:bottom w:w="60" w:type="dxa"/>
              <w:right w:w="110" w:type="dxa"/>
            </w:tcMar>
            <w:vAlign w:val="center"/>
          </w:tcPr>
          <w:p w14:paraId="1C6129BB"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−0.126</w:t>
            </w:r>
          </w:p>
        </w:tc>
        <w:tc>
          <w:tcPr>
            <w:tcW w:w="1550" w:type="dxa"/>
            <w:shd w:val="clear" w:color="auto" w:fill="EEF4F2"/>
            <w:tcMar>
              <w:top w:w="60" w:type="dxa"/>
              <w:left w:w="110" w:type="dxa"/>
              <w:bottom w:w="60" w:type="dxa"/>
              <w:right w:w="110" w:type="dxa"/>
            </w:tcMar>
            <w:vAlign w:val="center"/>
          </w:tcPr>
          <w:p w14:paraId="568A99EA"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−0.013</w:t>
            </w:r>
          </w:p>
        </w:tc>
        <w:tc>
          <w:tcPr>
            <w:tcW w:w="1550" w:type="dxa"/>
            <w:shd w:val="clear" w:color="auto" w:fill="EEF4F2"/>
            <w:tcMar>
              <w:top w:w="60" w:type="dxa"/>
              <w:left w:w="110" w:type="dxa"/>
              <w:bottom w:w="60" w:type="dxa"/>
              <w:right w:w="110" w:type="dxa"/>
            </w:tcMar>
            <w:vAlign w:val="center"/>
          </w:tcPr>
          <w:p w14:paraId="1E3F7B94"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+11.1%</w:t>
            </w:r>
          </w:p>
        </w:tc>
      </w:tr>
      <w:tr w:rsidR="00BC1555" w14:paraId="48A12DCA" w14:textId="77777777">
        <w:tc>
          <w:tcPr>
            <w:tcW w:w="3160" w:type="dxa"/>
            <w:tcMar>
              <w:top w:w="60" w:type="dxa"/>
              <w:left w:w="110" w:type="dxa"/>
              <w:bottom w:w="60" w:type="dxa"/>
              <w:right w:w="110" w:type="dxa"/>
            </w:tcMar>
            <w:vAlign w:val="center"/>
          </w:tcPr>
          <w:p w14:paraId="094C8F7D"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No Weed Infestation Control</w:t>
            </w:r>
          </w:p>
        </w:tc>
        <w:tc>
          <w:tcPr>
            <w:tcW w:w="1550" w:type="dxa"/>
            <w:tcMar>
              <w:top w:w="60" w:type="dxa"/>
              <w:left w:w="110" w:type="dxa"/>
              <w:bottom w:w="60" w:type="dxa"/>
              <w:right w:w="110" w:type="dxa"/>
            </w:tcMar>
            <w:vAlign w:val="center"/>
          </w:tcPr>
          <w:p w14:paraId="59296748"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−0.071</w:t>
            </w:r>
          </w:p>
        </w:tc>
        <w:tc>
          <w:tcPr>
            <w:tcW w:w="1550" w:type="dxa"/>
            <w:tcMar>
              <w:top w:w="60" w:type="dxa"/>
              <w:left w:w="110" w:type="dxa"/>
              <w:bottom w:w="60" w:type="dxa"/>
              <w:right w:w="110" w:type="dxa"/>
            </w:tcMar>
            <w:vAlign w:val="center"/>
          </w:tcPr>
          <w:p w14:paraId="246C09D4"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−0.090</w:t>
            </w:r>
          </w:p>
        </w:tc>
        <w:tc>
          <w:tcPr>
            <w:tcW w:w="1550" w:type="dxa"/>
            <w:tcMar>
              <w:top w:w="60" w:type="dxa"/>
              <w:left w:w="110" w:type="dxa"/>
              <w:bottom w:w="60" w:type="dxa"/>
              <w:right w:w="110" w:type="dxa"/>
            </w:tcMar>
            <w:vAlign w:val="center"/>
          </w:tcPr>
          <w:p w14:paraId="5FC1C73B"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−0.019</w:t>
            </w:r>
          </w:p>
        </w:tc>
        <w:tc>
          <w:tcPr>
            <w:tcW w:w="1550" w:type="dxa"/>
            <w:tcMar>
              <w:top w:w="60" w:type="dxa"/>
              <w:left w:w="110" w:type="dxa"/>
              <w:bottom w:w="60" w:type="dxa"/>
              <w:right w:w="110" w:type="dxa"/>
            </w:tcMar>
            <w:vAlign w:val="center"/>
          </w:tcPr>
          <w:p w14:paraId="28050BA2"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+26.9%</w:t>
            </w:r>
          </w:p>
        </w:tc>
      </w:tr>
    </w:tbl>
    <w:p w14:paraId="549B196B" w14:textId="77777777" w:rsidR="00B5379C" w:rsidRDefault="00B5379C" w:rsidP="00A623D5">
      <w:pPr>
        <w:spacing w:after="160" w:line="360" w:lineRule="auto"/>
        <w:jc w:val="both"/>
        <w:rPr>
          <w:rFonts w:ascii="Times New Roman" w:hAnsi="Times New Roman" w:cs="Times New Roman"/>
        </w:rPr>
      </w:pPr>
    </w:p>
    <w:p w14:paraId="5D2B1288"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The period 2022 to 2025 showed partial recovery in most zones. The Open Water zone recovered almost completely (from −0.107 to −0.002, a 98% reduction in negativity), the Transitional zone improved by 47.6% and the Near Shore zone by 35.7%. However, the Very High Variation Sudd Zone and the No Weed Infestation Control zone continued to decline (11.1% and 26.9% increases in negativity), suggesting persistent ecological degradation in these zones or differential effects of management across the lake.</w:t>
      </w:r>
    </w:p>
    <w:p w14:paraId="5872E47D" w14:textId="77777777" w:rsidR="00611175" w:rsidRPr="00352C77" w:rsidRDefault="007B6AAF" w:rsidP="00A623D5">
      <w:pPr>
        <w:keepNext/>
        <w:spacing w:before="120" w:after="40" w:line="36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1AEF0506" wp14:editId="5EA073A5">
            <wp:extent cx="6223000" cy="3632495"/>
            <wp:effectExtent l="0" t="0" r="6350" b="6350"/>
            <wp:docPr id="476391386" name="Figure 8: Mean NDVI comparison across years by zone type" descr="Figure 8: Mean NDVI comparison across years by zone type" title="Figure 8: Mean NDVI comparison across years by zone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6274179" cy="3662369"/>
                    </a:xfrm>
                    <a:prstGeom prst="rect">
                      <a:avLst/>
                    </a:prstGeom>
                  </pic:spPr>
                </pic:pic>
              </a:graphicData>
            </a:graphic>
          </wp:inline>
        </w:drawing>
      </w:r>
    </w:p>
    <w:p w14:paraId="4AB47DA1" w14:textId="411950ED" w:rsidR="00DB0109" w:rsidRPr="00352C77" w:rsidRDefault="00611175" w:rsidP="00A623D5">
      <w:pPr>
        <w:pStyle w:val="Caption"/>
        <w:jc w:val="center"/>
        <w:rPr>
          <w:rFonts w:ascii="Times New Roman" w:hAnsi="Times New Roman" w:cs="Times New Roman"/>
        </w:rPr>
      </w:pPr>
      <w:bookmarkStart w:id="123" w:name="_Toc237884369"/>
      <w:r>
        <w:rPr>
          <w:rFonts w:ascii="Times New Roman" w:hAnsi="Times New Roman" w:cs="Times New Roman"/>
        </w:rPr>
        <w:t xml:space="preserve">Figure </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402E51">
        <w:rPr>
          <w:rFonts w:ascii="Times New Roman" w:hAnsi="Times New Roman" w:cs="Times New Roman"/>
          <w:noProof/>
        </w:rPr>
        <w:t>8</w:t>
      </w:r>
      <w:r>
        <w:rPr>
          <w:rFonts w:ascii="Times New Roman" w:hAnsi="Times New Roman" w:cs="Times New Roman"/>
        </w:rPr>
        <w:fldChar w:fldCharType="end"/>
      </w:r>
      <w:r>
        <w:rPr>
          <w:rFonts w:ascii="Times New Roman" w:hAnsi="Times New Roman" w:cs="Times New Roman"/>
        </w:rPr>
        <w:t>: Mean NDVI comparison across years by zone type</w:t>
      </w:r>
      <w:bookmarkEnd w:id="123"/>
    </w:p>
    <w:p w14:paraId="09446AC0"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Figure 8 compares mean NDVI across the three years for each zone type. The exceptional 2017 value for the No Weed Infestation Control zone stands out clearly against all other bars, while the broadly consistent decline into 2022 and partial recovery into 2025 is visible across the remaining zones.</w:t>
      </w:r>
    </w:p>
    <w:p w14:paraId="20BFF263" w14:textId="77777777" w:rsidR="00DB0109" w:rsidRPr="00414D2A"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The size of that 2017 value warrants explanation. A mean NDVI of 0.382 is a vegetation signature rather than a water one, and it is the only zone mean in the dataset to exceed zero by a wide margin. Three explanations are consistent with the available evidence. The most likely is hydrological: 2017 followed the regional dry period of 2016–2017, when water levels across the basin were low, so pixels that are normally inundated would have been exposed shoreline, mudflat or emergent vegetation, all of which return strongly positive NDVI. The second is the small and unevenly distributed 2017 sample, which contributes 4,328 of the 30,296 observations and covers a single month; a zone mean therefore rests on comparatively few pixels and is sensitive to the position of the shoreline in that particular composite. The third is a boundary effect, in which station polygons drawn for a normal water level extended over land in a low-water year. These explanations are not mutually exclusive and cannot be separated without lake-level records for 2017. Until they are, the </w:t>
      </w:r>
      <w:r>
        <w:rPr>
          <w:rFonts w:ascii="Times New Roman" w:hAnsi="Times New Roman" w:cs="Times New Roman"/>
        </w:rPr>
        <w:lastRenderedPageBreak/>
        <w:t>2017 control-zone value should be treated as provisional, and it should be excluded from any trend calculation in which it would dominate the result.</w:t>
      </w:r>
    </w:p>
    <w:p w14:paraId="7EC28100" w14:textId="77777777" w:rsidR="00611175" w:rsidRPr="00352C77" w:rsidRDefault="007B6AAF" w:rsidP="00A623D5">
      <w:pPr>
        <w:keepNext/>
        <w:spacing w:before="120" w:after="40" w:line="360" w:lineRule="auto"/>
        <w:jc w:val="center"/>
        <w:rPr>
          <w:rFonts w:ascii="Times New Roman" w:hAnsi="Times New Roman" w:cs="Times New Roman"/>
        </w:rPr>
      </w:pPr>
      <w:r>
        <w:rPr>
          <w:rFonts w:ascii="Times New Roman" w:hAnsi="Times New Roman" w:cs="Times New Roman"/>
          <w:noProof/>
        </w:rPr>
        <w:drawing>
          <wp:inline distT="0" distB="0" distL="0" distR="0" wp14:anchorId="4C81712F" wp14:editId="1CDFF5AA">
            <wp:extent cx="5877872" cy="3581400"/>
            <wp:effectExtent l="0" t="0" r="8890" b="0"/>
            <wp:docPr id="1271707163" name="Figure 9: Mean NDVI heatmap by station and period" descr="Figure 9: Mean NDVI heatmap by station and period" title="Figure 9: Mean NDVI heatmap by station and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9"/>
                    <a:srcRect/>
                    <a:stretch>
                      <a:fillRect/>
                    </a:stretch>
                  </pic:blipFill>
                  <pic:spPr bwMode="auto">
                    <a:xfrm>
                      <a:off x="0" y="0"/>
                      <a:ext cx="5921033" cy="3607698"/>
                    </a:xfrm>
                    <a:prstGeom prst="rect">
                      <a:avLst/>
                    </a:prstGeom>
                  </pic:spPr>
                </pic:pic>
              </a:graphicData>
            </a:graphic>
          </wp:inline>
        </w:drawing>
      </w:r>
    </w:p>
    <w:p w14:paraId="06DBD052" w14:textId="33B220CF" w:rsidR="00DB0109" w:rsidRPr="00352C77" w:rsidRDefault="00611175" w:rsidP="00A623D5">
      <w:pPr>
        <w:pStyle w:val="Caption"/>
        <w:jc w:val="center"/>
        <w:rPr>
          <w:rFonts w:ascii="Times New Roman" w:hAnsi="Times New Roman" w:cs="Times New Roman"/>
        </w:rPr>
      </w:pPr>
      <w:bookmarkStart w:id="124" w:name="_Toc237884370"/>
      <w:r>
        <w:rPr>
          <w:rFonts w:ascii="Times New Roman" w:hAnsi="Times New Roman" w:cs="Times New Roman"/>
        </w:rPr>
        <w:t xml:space="preserve">Figure </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402E51">
        <w:rPr>
          <w:rFonts w:ascii="Times New Roman" w:hAnsi="Times New Roman" w:cs="Times New Roman"/>
          <w:noProof/>
        </w:rPr>
        <w:t>9</w:t>
      </w:r>
      <w:r>
        <w:rPr>
          <w:rFonts w:ascii="Times New Roman" w:hAnsi="Times New Roman" w:cs="Times New Roman"/>
        </w:rPr>
        <w:fldChar w:fldCharType="end"/>
      </w:r>
      <w:r>
        <w:rPr>
          <w:rFonts w:ascii="Times New Roman" w:hAnsi="Times New Roman" w:cs="Times New Roman"/>
        </w:rPr>
        <w:t>: Mean NDVI heatmap by station and period</w:t>
      </w:r>
      <w:bookmarkEnd w:id="124"/>
    </w:p>
    <w:p w14:paraId="39D37BE2" w14:textId="77777777" w:rsidR="00DB0109" w:rsidRPr="00B740FA" w:rsidRDefault="007B6AAF" w:rsidP="00A623D5">
      <w:pPr>
        <w:spacing w:after="160" w:line="360" w:lineRule="auto"/>
        <w:jc w:val="both"/>
        <w:rPr>
          <w:rFonts w:ascii="Times New Roman" w:hAnsi="Times New Roman" w:cs="Times New Roman"/>
        </w:rPr>
      </w:pPr>
      <w:r>
        <w:rPr>
          <w:rFonts w:ascii="Times New Roman" w:hAnsi="Times New Roman" w:cs="Times New Roman"/>
        </w:rPr>
        <w:t>The heatmap in Figure 9 displays mean NDVI for each station across each year–month period. Greener cells (higher NDVI) appear sporadically at Southern and Eastern stations, while the cooler, red-shaded cells dominate, reinforcing the overall picture of open-water dominance punctuated by localised, time-specific vegetation peaks.</w:t>
      </w:r>
    </w:p>
    <w:p w14:paraId="01445962" w14:textId="77777777" w:rsidR="00DB0109" w:rsidRPr="00414D2A" w:rsidRDefault="007B6AAF" w:rsidP="00A623D5">
      <w:pPr>
        <w:spacing w:after="160" w:line="360" w:lineRule="auto"/>
        <w:jc w:val="both"/>
        <w:rPr>
          <w:rFonts w:ascii="Times New Roman" w:hAnsi="Times New Roman" w:cs="Times New Roman"/>
        </w:rPr>
      </w:pPr>
      <w:r>
        <w:rPr>
          <w:rFonts w:ascii="Times New Roman" w:hAnsi="Times New Roman" w:cs="Times New Roman"/>
        </w:rPr>
        <w:t>The practical implication is that lake-wide averages conceal the signal that matters for management. Weed-related vegetation on Lake Wamala appears as brief, localised episodes at particular stations in particular months rather than as a persistent lake-wide condition, so a monitoring programme built on annual or lake-wide means would miss it almost entirely. Detection depends on retaining station-level resolution and a monthly or finer time step, and control effort is best mobilised in response to detected episodes at the Southern and Eastern stations rather than distributed evenly across the lake in advance.</w:t>
      </w:r>
    </w:p>
    <w:p w14:paraId="3625B4A2" w14:textId="77777777" w:rsidR="003F30FB" w:rsidRPr="00352C77" w:rsidRDefault="007B6AAF" w:rsidP="00A623D5">
      <w:pPr>
        <w:pStyle w:val="Heading3"/>
        <w:spacing w:line="360" w:lineRule="auto"/>
        <w:rPr>
          <w:rFonts w:ascii="Times New Roman" w:hAnsi="Times New Roman" w:cs="Times New Roman"/>
        </w:rPr>
      </w:pPr>
      <w:bookmarkStart w:id="125" w:name="_Toc237884331"/>
      <w:r>
        <w:rPr>
          <w:rFonts w:ascii="Times New Roman" w:hAnsi="Times New Roman" w:cs="Times New Roman"/>
        </w:rPr>
        <w:lastRenderedPageBreak/>
        <w:t>4.5.1 Test of Differences Among Years (Hypothesis H3)</w:t>
      </w:r>
      <w:bookmarkEnd w:id="125"/>
    </w:p>
    <w:p w14:paraId="5F8F6EE3" w14:textId="77777777" w:rsidR="00DB0109" w:rsidRPr="00414D2A"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A one-way analysis of variance confirmed that mean NDVI differed significantly among the three observation years, </w:t>
      </w:r>
      <w:proofErr w:type="gramStart"/>
      <w:r>
        <w:rPr>
          <w:rFonts w:ascii="Times New Roman" w:hAnsi="Times New Roman" w:cs="Times New Roman"/>
        </w:rPr>
        <w:t>F(</w:t>
      </w:r>
      <w:proofErr w:type="gramEnd"/>
      <w:r>
        <w:rPr>
          <w:rFonts w:ascii="Times New Roman" w:hAnsi="Times New Roman" w:cs="Times New Roman"/>
        </w:rPr>
        <w:t>2, 30293) = 273.0, p &lt; .001. The effect size was small, η² = 0.018, indicating that the year of acquisition accounts for approximately two percent of the total pixel-to-pixel variance in NDVI. As with the spatial comparisons, the very large sample means that a modest difference in means is detected with certainty, so the practical importance of the result rests on the direction and magnitude of the shift (2017, −0.037; 2022, −0.113; 2025, −0.072) rather than on the p-value. Because the three years contributed unequal numbers of observations (4,328, 4,328 and 21,640 respectively) and differ in dispersion, the Welch correction should also be applied when the test is repeated on the full pixel-level dataset.</w:t>
      </w:r>
    </w:p>
    <w:p w14:paraId="1C9DDD13" w14:textId="77777777" w:rsidR="00DB0109" w:rsidRPr="00414D2A"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In conclusion, the null hypothesis of no difference in mean NDVI among the three observation years is rejected. Hypothesis H3 is accepted: the decline to 2022 and the partial recovery by 2025 are statistically significant. Read together with the seasonal result in Section 4.6.1, however, the small effect size indicates that inter-annual change is a minor component of the total variation in the index, and the shift is better explained by the 2020–2023 La Niña-driven </w:t>
      </w:r>
      <w:proofErr w:type="gramStart"/>
      <w:r>
        <w:rPr>
          <w:rFonts w:ascii="Times New Roman" w:hAnsi="Times New Roman" w:cs="Times New Roman"/>
        </w:rPr>
        <w:t>high water</w:t>
      </w:r>
      <w:proofErr w:type="gramEnd"/>
      <w:r>
        <w:rPr>
          <w:rFonts w:ascii="Times New Roman" w:hAnsi="Times New Roman" w:cs="Times New Roman"/>
        </w:rPr>
        <w:t xml:space="preserve"> levels in the basin than by any management intervention.</w:t>
      </w:r>
    </w:p>
    <w:p w14:paraId="6F36D6E0" w14:textId="77777777" w:rsidR="00614286"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Figure 10 summarises mean NDVI for each region across the three study years in a single heatmap. The 2022 column is uniformly the darkest, confirming the basin-wide NDVI depression associated with the high-water period, while the Southern region stands out as the only cell turning positive by 2025 (0.053). The Dynamic Targeting and Western regions remain persistently negative throughout, underscoring that the modest lake-wide recovery by 2025 was driven largely by the Southern and, to a lesser extent, Eastern regions rather than being uniform across the lake.</w:t>
      </w:r>
    </w:p>
    <w:p w14:paraId="25DE3953" w14:textId="77777777" w:rsidR="00DB0109" w:rsidRPr="00414D2A"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This inter-annual trajectory is consistent with documented climate variability in the basin rather than with any change in weed management. The 2020–2023 sequence of consecutive La Niña events produced record-high water levels across the Lake Victoria system, and on a shallow, closed-basin lake such as Wamala these conditions would have submerged vegetated margins, raised turbidity and suppressed the surface vegetation signal, which accounts for the 2022 minimum; the recovery by 2025 reflects a return towards more normal levels. Comparable climate-driven fluctuations in remotely sensed macrophyte extent have been reported for other African lakes, including Lakes </w:t>
      </w:r>
      <w:proofErr w:type="spellStart"/>
      <w:r>
        <w:rPr>
          <w:rFonts w:ascii="Times New Roman" w:hAnsi="Times New Roman" w:cs="Times New Roman"/>
        </w:rPr>
        <w:t>Chivero</w:t>
      </w:r>
      <w:proofErr w:type="spellEnd"/>
      <w:r>
        <w:rPr>
          <w:rFonts w:ascii="Times New Roman" w:hAnsi="Times New Roman" w:cs="Times New Roman"/>
        </w:rPr>
        <w:t xml:space="preserve"> and Manyame (</w:t>
      </w:r>
      <w:proofErr w:type="spellStart"/>
      <w:r>
        <w:rPr>
          <w:rFonts w:ascii="Times New Roman" w:hAnsi="Times New Roman" w:cs="Times New Roman"/>
        </w:rPr>
        <w:t>Shekede</w:t>
      </w:r>
      <w:proofErr w:type="spellEnd"/>
      <w:r>
        <w:rPr>
          <w:rFonts w:ascii="Times New Roman" w:hAnsi="Times New Roman" w:cs="Times New Roman"/>
        </w:rPr>
        <w:t xml:space="preserve"> et al., 2023) and Lake Tana (</w:t>
      </w:r>
      <w:proofErr w:type="spellStart"/>
      <w:r>
        <w:rPr>
          <w:rFonts w:ascii="Times New Roman" w:hAnsi="Times New Roman" w:cs="Times New Roman"/>
        </w:rPr>
        <w:t>Belayhun</w:t>
      </w:r>
      <w:proofErr w:type="spellEnd"/>
      <w:r>
        <w:rPr>
          <w:rFonts w:ascii="Times New Roman" w:hAnsi="Times New Roman" w:cs="Times New Roman"/>
        </w:rPr>
        <w:t xml:space="preserve"> et </w:t>
      </w:r>
      <w:r>
        <w:rPr>
          <w:rFonts w:ascii="Times New Roman" w:hAnsi="Times New Roman" w:cs="Times New Roman"/>
        </w:rPr>
        <w:lastRenderedPageBreak/>
        <w:t>al., 2024), and at national scale by Singh et al. (2020). The implication for interpretation is important: a fall in NDVI on this lake is not by itself evidence that weed cover has been reduced, since submergence and clearance produce the same spectral outcome.</w:t>
      </w:r>
    </w:p>
    <w:p w14:paraId="5949F8FF" w14:textId="77777777" w:rsidR="00611175" w:rsidRPr="00352C77" w:rsidRDefault="007B6AAF" w:rsidP="00A623D5">
      <w:pPr>
        <w:keepNext/>
        <w:spacing w:before="120" w:after="40" w:line="360" w:lineRule="auto"/>
        <w:jc w:val="center"/>
        <w:rPr>
          <w:rFonts w:ascii="Times New Roman" w:hAnsi="Times New Roman" w:cs="Times New Roman"/>
        </w:rPr>
      </w:pPr>
      <w:r>
        <w:rPr>
          <w:rFonts w:ascii="Times New Roman" w:hAnsi="Times New Roman" w:cs="Times New Roman"/>
          <w:noProof/>
        </w:rPr>
        <w:drawing>
          <wp:inline distT="0" distB="0" distL="0" distR="0" wp14:anchorId="56E02936" wp14:editId="7099EE22">
            <wp:extent cx="5492750" cy="4060759"/>
            <wp:effectExtent l="0" t="0" r="0" b="0"/>
            <wp:docPr id="1900000002" name="Figure 10: Mean NDVI heatmap by region and year" descr="Figure 10: Mean NDVI heatmap by region and year" title="Figure 10: Mean NDVI heatmap by region and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srcRect/>
                    <a:stretch>
                      <a:fillRect/>
                    </a:stretch>
                  </pic:blipFill>
                  <pic:spPr bwMode="auto">
                    <a:xfrm>
                      <a:off x="0" y="0"/>
                      <a:ext cx="5516756" cy="4078506"/>
                    </a:xfrm>
                    <a:prstGeom prst="rect">
                      <a:avLst/>
                    </a:prstGeom>
                  </pic:spPr>
                </pic:pic>
              </a:graphicData>
            </a:graphic>
          </wp:inline>
        </w:drawing>
      </w:r>
    </w:p>
    <w:p w14:paraId="05E2324C" w14:textId="49C4E74C" w:rsidR="00614286" w:rsidRPr="00352C77" w:rsidRDefault="00611175" w:rsidP="00A623D5">
      <w:pPr>
        <w:pStyle w:val="Caption"/>
        <w:jc w:val="center"/>
        <w:rPr>
          <w:rFonts w:ascii="Times New Roman" w:hAnsi="Times New Roman" w:cs="Times New Roman"/>
        </w:rPr>
      </w:pPr>
      <w:bookmarkStart w:id="126" w:name="_Toc237884371"/>
      <w:r>
        <w:rPr>
          <w:rFonts w:ascii="Times New Roman" w:hAnsi="Times New Roman" w:cs="Times New Roman"/>
        </w:rPr>
        <w:t xml:space="preserve">Figure </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402E51">
        <w:rPr>
          <w:rFonts w:ascii="Times New Roman" w:hAnsi="Times New Roman" w:cs="Times New Roman"/>
          <w:noProof/>
        </w:rPr>
        <w:t>10</w:t>
      </w:r>
      <w:r>
        <w:rPr>
          <w:rFonts w:ascii="Times New Roman" w:hAnsi="Times New Roman" w:cs="Times New Roman"/>
        </w:rPr>
        <w:fldChar w:fldCharType="end"/>
      </w:r>
      <w:r>
        <w:rPr>
          <w:rFonts w:ascii="Times New Roman" w:hAnsi="Times New Roman" w:cs="Times New Roman"/>
        </w:rPr>
        <w:t>: Mean NDVI heatmap by region and year</w:t>
      </w:r>
      <w:bookmarkEnd w:id="126"/>
    </w:p>
    <w:p w14:paraId="51B0310D" w14:textId="77777777" w:rsidR="00DB0109" w:rsidRPr="00352C77" w:rsidRDefault="007B6AAF" w:rsidP="00A623D5">
      <w:pPr>
        <w:pStyle w:val="Heading2"/>
        <w:spacing w:line="360" w:lineRule="auto"/>
        <w:rPr>
          <w:rFonts w:ascii="Times New Roman" w:hAnsi="Times New Roman" w:cs="Times New Roman"/>
        </w:rPr>
      </w:pPr>
      <w:bookmarkStart w:id="127" w:name="_Toc237884332"/>
      <w:r>
        <w:rPr>
          <w:rFonts w:ascii="Times New Roman" w:hAnsi="Times New Roman" w:cs="Times New Roman"/>
        </w:rPr>
        <w:t>4.6 Monthly Seasonal Patterns</w:t>
      </w:r>
      <w:bookmarkEnd w:id="127"/>
    </w:p>
    <w:p w14:paraId="6F569656"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The seasonal analysis revealed distinct monthly patterns. Across all years, January exhibited the least negative mean NDVI (−0.011), suggesting the lowest vegetation abundance or highest water dominance during the dry season. February showed the most negative mean NDVI (−0.133) and the highest mean NDWI (0.292), coinciding with the onset of the first rains when increased water levels and nutrient runoff may alter turbidity and vegetation. March showed moderate values (NDVI = −0.101, NDWI = 0.254), while June and September were intermediate.</w:t>
      </w:r>
    </w:p>
    <w:p w14:paraId="67D2608B" w14:textId="77777777" w:rsidR="009658D1" w:rsidRPr="00352C77" w:rsidRDefault="009658D1" w:rsidP="00A623D5">
      <w:pPr>
        <w:pStyle w:val="Caption"/>
        <w:keepNext/>
        <w:rPr>
          <w:rFonts w:ascii="Times New Roman" w:hAnsi="Times New Roman" w:cs="Times New Roman"/>
        </w:rPr>
      </w:pPr>
      <w:bookmarkStart w:id="128" w:name="_Toc237884356"/>
      <w:r>
        <w:rPr>
          <w:rFonts w:ascii="Times New Roman" w:hAnsi="Times New Roman" w:cs="Times New Roman"/>
        </w:rPr>
        <w:lastRenderedPageBreak/>
        <w:t xml:space="preserve">Table </w:t>
      </w:r>
      <w:r>
        <w:rPr>
          <w:rFonts w:ascii="Times New Roman" w:hAnsi="Times New Roman" w:cs="Times New Roman"/>
        </w:rPr>
        <w:fldChar w:fldCharType="begin"/>
      </w:r>
      <w:r>
        <w:rPr>
          <w:rFonts w:ascii="Times New Roman" w:hAnsi="Times New Roman" w:cs="Times New Roman"/>
        </w:rPr>
        <w:instrText xml:space="preserve"> SEQ Table \* ARABIC </w:instrText>
      </w:r>
      <w:r>
        <w:rPr>
          <w:rFonts w:ascii="Times New Roman" w:hAnsi="Times New Roman" w:cs="Times New Roman"/>
        </w:rPr>
        <w:fldChar w:fldCharType="separate"/>
      </w:r>
      <w:r>
        <w:rPr>
          <w:rFonts w:ascii="Times New Roman" w:hAnsi="Times New Roman" w:cs="Times New Roman"/>
          <w:noProof/>
        </w:rPr>
        <w:t>8</w:t>
      </w:r>
      <w:r>
        <w:rPr>
          <w:rFonts w:ascii="Times New Roman" w:hAnsi="Times New Roman" w:cs="Times New Roman"/>
        </w:rPr>
        <w:fldChar w:fldCharType="end"/>
      </w:r>
      <w:r>
        <w:rPr>
          <w:rFonts w:ascii="Times New Roman" w:hAnsi="Times New Roman" w:cs="Times New Roman"/>
        </w:rPr>
        <w:t>: Mean NDVI and NDWI by Month (All Years)</w:t>
      </w:r>
      <w:bookmarkEnd w:id="128"/>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60"/>
        <w:gridCol w:w="2400"/>
        <w:gridCol w:w="2400"/>
        <w:gridCol w:w="2200"/>
      </w:tblGrid>
      <w:tr w:rsidR="00BC1555" w14:paraId="7ACB1599" w14:textId="77777777">
        <w:trPr>
          <w:tblHeader/>
        </w:trPr>
        <w:tc>
          <w:tcPr>
            <w:tcW w:w="2360" w:type="dxa"/>
            <w:shd w:val="clear" w:color="auto" w:fill="2E6B5E"/>
            <w:tcMar>
              <w:top w:w="60" w:type="dxa"/>
              <w:left w:w="110" w:type="dxa"/>
              <w:bottom w:w="60" w:type="dxa"/>
              <w:right w:w="110" w:type="dxa"/>
            </w:tcMar>
            <w:vAlign w:val="center"/>
          </w:tcPr>
          <w:p w14:paraId="0CCEA5B7"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b/>
                <w:bCs/>
                <w:color w:val="FFFFFF"/>
                <w:sz w:val="20"/>
                <w:szCs w:val="20"/>
              </w:rPr>
              <w:t>Month</w:t>
            </w:r>
          </w:p>
        </w:tc>
        <w:tc>
          <w:tcPr>
            <w:tcW w:w="2400" w:type="dxa"/>
            <w:shd w:val="clear" w:color="auto" w:fill="2E6B5E"/>
            <w:tcMar>
              <w:top w:w="60" w:type="dxa"/>
              <w:left w:w="110" w:type="dxa"/>
              <w:bottom w:w="60" w:type="dxa"/>
              <w:right w:w="110" w:type="dxa"/>
            </w:tcMar>
            <w:vAlign w:val="center"/>
          </w:tcPr>
          <w:p w14:paraId="6EB82290"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b/>
                <w:bCs/>
                <w:color w:val="FFFFFF"/>
                <w:sz w:val="20"/>
                <w:szCs w:val="20"/>
              </w:rPr>
              <w:t>Mean NDVI</w:t>
            </w:r>
          </w:p>
        </w:tc>
        <w:tc>
          <w:tcPr>
            <w:tcW w:w="2400" w:type="dxa"/>
            <w:shd w:val="clear" w:color="auto" w:fill="2E6B5E"/>
            <w:tcMar>
              <w:top w:w="60" w:type="dxa"/>
              <w:left w:w="110" w:type="dxa"/>
              <w:bottom w:w="60" w:type="dxa"/>
              <w:right w:w="110" w:type="dxa"/>
            </w:tcMar>
            <w:vAlign w:val="center"/>
          </w:tcPr>
          <w:p w14:paraId="2912DA49"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b/>
                <w:bCs/>
                <w:color w:val="FFFFFF"/>
                <w:sz w:val="20"/>
                <w:szCs w:val="20"/>
              </w:rPr>
              <w:t>Mean NDWI</w:t>
            </w:r>
          </w:p>
        </w:tc>
        <w:tc>
          <w:tcPr>
            <w:tcW w:w="2200" w:type="dxa"/>
            <w:shd w:val="clear" w:color="auto" w:fill="2E6B5E"/>
            <w:tcMar>
              <w:top w:w="60" w:type="dxa"/>
              <w:left w:w="110" w:type="dxa"/>
              <w:bottom w:w="60" w:type="dxa"/>
              <w:right w:w="110" w:type="dxa"/>
            </w:tcMar>
            <w:vAlign w:val="center"/>
          </w:tcPr>
          <w:p w14:paraId="534CF29E"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b/>
                <w:bCs/>
                <w:color w:val="FFFFFF"/>
                <w:sz w:val="20"/>
                <w:szCs w:val="20"/>
              </w:rPr>
              <w:t>Pixel Count</w:t>
            </w:r>
          </w:p>
        </w:tc>
      </w:tr>
      <w:tr w:rsidR="00BC1555" w14:paraId="4C07AD0C" w14:textId="77777777">
        <w:tc>
          <w:tcPr>
            <w:tcW w:w="2360" w:type="dxa"/>
            <w:tcMar>
              <w:top w:w="60" w:type="dxa"/>
              <w:left w:w="110" w:type="dxa"/>
              <w:bottom w:w="60" w:type="dxa"/>
              <w:right w:w="110" w:type="dxa"/>
            </w:tcMar>
            <w:vAlign w:val="center"/>
          </w:tcPr>
          <w:p w14:paraId="2878D753"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January</w:t>
            </w:r>
          </w:p>
        </w:tc>
        <w:tc>
          <w:tcPr>
            <w:tcW w:w="2400" w:type="dxa"/>
            <w:tcMar>
              <w:top w:w="60" w:type="dxa"/>
              <w:left w:w="110" w:type="dxa"/>
              <w:bottom w:w="60" w:type="dxa"/>
              <w:right w:w="110" w:type="dxa"/>
            </w:tcMar>
            <w:vAlign w:val="center"/>
          </w:tcPr>
          <w:p w14:paraId="3EE94F0A"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−0.011</w:t>
            </w:r>
          </w:p>
        </w:tc>
        <w:tc>
          <w:tcPr>
            <w:tcW w:w="2400" w:type="dxa"/>
            <w:tcMar>
              <w:top w:w="60" w:type="dxa"/>
              <w:left w:w="110" w:type="dxa"/>
              <w:bottom w:w="60" w:type="dxa"/>
              <w:right w:w="110" w:type="dxa"/>
            </w:tcMar>
            <w:vAlign w:val="center"/>
          </w:tcPr>
          <w:p w14:paraId="1789FBD7"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0.099</w:t>
            </w:r>
          </w:p>
        </w:tc>
        <w:tc>
          <w:tcPr>
            <w:tcW w:w="2200" w:type="dxa"/>
            <w:tcMar>
              <w:top w:w="60" w:type="dxa"/>
              <w:left w:w="110" w:type="dxa"/>
              <w:bottom w:w="60" w:type="dxa"/>
              <w:right w:w="110" w:type="dxa"/>
            </w:tcMar>
            <w:vAlign w:val="center"/>
          </w:tcPr>
          <w:p w14:paraId="238F2C57"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8,656</w:t>
            </w:r>
          </w:p>
        </w:tc>
      </w:tr>
      <w:tr w:rsidR="00BC1555" w14:paraId="0B99BB67" w14:textId="77777777">
        <w:tc>
          <w:tcPr>
            <w:tcW w:w="2360" w:type="dxa"/>
            <w:shd w:val="clear" w:color="auto" w:fill="EEF4F2"/>
            <w:tcMar>
              <w:top w:w="60" w:type="dxa"/>
              <w:left w:w="110" w:type="dxa"/>
              <w:bottom w:w="60" w:type="dxa"/>
              <w:right w:w="110" w:type="dxa"/>
            </w:tcMar>
            <w:vAlign w:val="center"/>
          </w:tcPr>
          <w:p w14:paraId="3D2B74F3"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February</w:t>
            </w:r>
          </w:p>
        </w:tc>
        <w:tc>
          <w:tcPr>
            <w:tcW w:w="2400" w:type="dxa"/>
            <w:shd w:val="clear" w:color="auto" w:fill="EEF4F2"/>
            <w:tcMar>
              <w:top w:w="60" w:type="dxa"/>
              <w:left w:w="110" w:type="dxa"/>
              <w:bottom w:w="60" w:type="dxa"/>
              <w:right w:w="110" w:type="dxa"/>
            </w:tcMar>
            <w:vAlign w:val="center"/>
          </w:tcPr>
          <w:p w14:paraId="47326891"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−0.133</w:t>
            </w:r>
          </w:p>
        </w:tc>
        <w:tc>
          <w:tcPr>
            <w:tcW w:w="2400" w:type="dxa"/>
            <w:shd w:val="clear" w:color="auto" w:fill="EEF4F2"/>
            <w:tcMar>
              <w:top w:w="60" w:type="dxa"/>
              <w:left w:w="110" w:type="dxa"/>
              <w:bottom w:w="60" w:type="dxa"/>
              <w:right w:w="110" w:type="dxa"/>
            </w:tcMar>
            <w:vAlign w:val="center"/>
          </w:tcPr>
          <w:p w14:paraId="73E257CB"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0.292</w:t>
            </w:r>
          </w:p>
        </w:tc>
        <w:tc>
          <w:tcPr>
            <w:tcW w:w="2200" w:type="dxa"/>
            <w:shd w:val="clear" w:color="auto" w:fill="EEF4F2"/>
            <w:tcMar>
              <w:top w:w="60" w:type="dxa"/>
              <w:left w:w="110" w:type="dxa"/>
              <w:bottom w:w="60" w:type="dxa"/>
              <w:right w:w="110" w:type="dxa"/>
            </w:tcMar>
            <w:vAlign w:val="center"/>
          </w:tcPr>
          <w:p w14:paraId="4D4EEDC6"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4,328</w:t>
            </w:r>
          </w:p>
        </w:tc>
      </w:tr>
      <w:tr w:rsidR="00BC1555" w14:paraId="40253C26" w14:textId="77777777">
        <w:tc>
          <w:tcPr>
            <w:tcW w:w="2360" w:type="dxa"/>
            <w:tcMar>
              <w:top w:w="60" w:type="dxa"/>
              <w:left w:w="110" w:type="dxa"/>
              <w:bottom w:w="60" w:type="dxa"/>
              <w:right w:w="110" w:type="dxa"/>
            </w:tcMar>
            <w:vAlign w:val="center"/>
          </w:tcPr>
          <w:p w14:paraId="12E74D47"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March</w:t>
            </w:r>
          </w:p>
        </w:tc>
        <w:tc>
          <w:tcPr>
            <w:tcW w:w="2400" w:type="dxa"/>
            <w:tcMar>
              <w:top w:w="60" w:type="dxa"/>
              <w:left w:w="110" w:type="dxa"/>
              <w:bottom w:w="60" w:type="dxa"/>
              <w:right w:w="110" w:type="dxa"/>
            </w:tcMar>
            <w:vAlign w:val="center"/>
          </w:tcPr>
          <w:p w14:paraId="4E8C5C1B"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−0.101</w:t>
            </w:r>
          </w:p>
        </w:tc>
        <w:tc>
          <w:tcPr>
            <w:tcW w:w="2400" w:type="dxa"/>
            <w:tcMar>
              <w:top w:w="60" w:type="dxa"/>
              <w:left w:w="110" w:type="dxa"/>
              <w:bottom w:w="60" w:type="dxa"/>
              <w:right w:w="110" w:type="dxa"/>
            </w:tcMar>
            <w:vAlign w:val="center"/>
          </w:tcPr>
          <w:p w14:paraId="79B6644D"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0.254</w:t>
            </w:r>
          </w:p>
        </w:tc>
        <w:tc>
          <w:tcPr>
            <w:tcW w:w="2200" w:type="dxa"/>
            <w:tcMar>
              <w:top w:w="60" w:type="dxa"/>
              <w:left w:w="110" w:type="dxa"/>
              <w:bottom w:w="60" w:type="dxa"/>
              <w:right w:w="110" w:type="dxa"/>
            </w:tcMar>
            <w:vAlign w:val="center"/>
          </w:tcPr>
          <w:p w14:paraId="6532DEC6"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8,656</w:t>
            </w:r>
          </w:p>
        </w:tc>
      </w:tr>
      <w:tr w:rsidR="00BC1555" w14:paraId="5128B9CF" w14:textId="77777777">
        <w:tc>
          <w:tcPr>
            <w:tcW w:w="2360" w:type="dxa"/>
            <w:shd w:val="clear" w:color="auto" w:fill="EEF4F2"/>
            <w:tcMar>
              <w:top w:w="60" w:type="dxa"/>
              <w:left w:w="110" w:type="dxa"/>
              <w:bottom w:w="60" w:type="dxa"/>
              <w:right w:w="110" w:type="dxa"/>
            </w:tcMar>
            <w:vAlign w:val="center"/>
          </w:tcPr>
          <w:p w14:paraId="6F956633"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June</w:t>
            </w:r>
          </w:p>
        </w:tc>
        <w:tc>
          <w:tcPr>
            <w:tcW w:w="2400" w:type="dxa"/>
            <w:shd w:val="clear" w:color="auto" w:fill="EEF4F2"/>
            <w:tcMar>
              <w:top w:w="60" w:type="dxa"/>
              <w:left w:w="110" w:type="dxa"/>
              <w:bottom w:w="60" w:type="dxa"/>
              <w:right w:w="110" w:type="dxa"/>
            </w:tcMar>
            <w:vAlign w:val="center"/>
          </w:tcPr>
          <w:p w14:paraId="517EA624"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−0.056</w:t>
            </w:r>
          </w:p>
        </w:tc>
        <w:tc>
          <w:tcPr>
            <w:tcW w:w="2400" w:type="dxa"/>
            <w:shd w:val="clear" w:color="auto" w:fill="EEF4F2"/>
            <w:tcMar>
              <w:top w:w="60" w:type="dxa"/>
              <w:left w:w="110" w:type="dxa"/>
              <w:bottom w:w="60" w:type="dxa"/>
              <w:right w:w="110" w:type="dxa"/>
            </w:tcMar>
            <w:vAlign w:val="center"/>
          </w:tcPr>
          <w:p w14:paraId="02B89769"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0.182</w:t>
            </w:r>
          </w:p>
        </w:tc>
        <w:tc>
          <w:tcPr>
            <w:tcW w:w="2200" w:type="dxa"/>
            <w:shd w:val="clear" w:color="auto" w:fill="EEF4F2"/>
            <w:tcMar>
              <w:top w:w="60" w:type="dxa"/>
              <w:left w:w="110" w:type="dxa"/>
              <w:bottom w:w="60" w:type="dxa"/>
              <w:right w:w="110" w:type="dxa"/>
            </w:tcMar>
            <w:vAlign w:val="center"/>
          </w:tcPr>
          <w:p w14:paraId="7E9552EF"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4,328</w:t>
            </w:r>
          </w:p>
        </w:tc>
      </w:tr>
      <w:tr w:rsidR="00BC1555" w14:paraId="4FB1BDC4" w14:textId="77777777">
        <w:tc>
          <w:tcPr>
            <w:tcW w:w="2360" w:type="dxa"/>
            <w:tcMar>
              <w:top w:w="60" w:type="dxa"/>
              <w:left w:w="110" w:type="dxa"/>
              <w:bottom w:w="60" w:type="dxa"/>
              <w:right w:w="110" w:type="dxa"/>
            </w:tcMar>
            <w:vAlign w:val="center"/>
          </w:tcPr>
          <w:p w14:paraId="094C8795"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September</w:t>
            </w:r>
          </w:p>
        </w:tc>
        <w:tc>
          <w:tcPr>
            <w:tcW w:w="2400" w:type="dxa"/>
            <w:tcMar>
              <w:top w:w="60" w:type="dxa"/>
              <w:left w:w="110" w:type="dxa"/>
              <w:bottom w:w="60" w:type="dxa"/>
              <w:right w:w="110" w:type="dxa"/>
            </w:tcMar>
            <w:vAlign w:val="center"/>
          </w:tcPr>
          <w:p w14:paraId="57FA2782"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−0.097</w:t>
            </w:r>
          </w:p>
        </w:tc>
        <w:tc>
          <w:tcPr>
            <w:tcW w:w="2400" w:type="dxa"/>
            <w:tcMar>
              <w:top w:w="60" w:type="dxa"/>
              <w:left w:w="110" w:type="dxa"/>
              <w:bottom w:w="60" w:type="dxa"/>
              <w:right w:w="110" w:type="dxa"/>
            </w:tcMar>
            <w:vAlign w:val="center"/>
          </w:tcPr>
          <w:p w14:paraId="32CA91E6"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0.261</w:t>
            </w:r>
          </w:p>
        </w:tc>
        <w:tc>
          <w:tcPr>
            <w:tcW w:w="2200" w:type="dxa"/>
            <w:tcMar>
              <w:top w:w="60" w:type="dxa"/>
              <w:left w:w="110" w:type="dxa"/>
              <w:bottom w:w="60" w:type="dxa"/>
              <w:right w:w="110" w:type="dxa"/>
            </w:tcMar>
            <w:vAlign w:val="center"/>
          </w:tcPr>
          <w:p w14:paraId="204BFF12"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4,328</w:t>
            </w:r>
          </w:p>
        </w:tc>
      </w:tr>
    </w:tbl>
    <w:p w14:paraId="73249430" w14:textId="77777777" w:rsidR="00B740FA" w:rsidRDefault="00B740FA" w:rsidP="00A623D5">
      <w:pPr>
        <w:spacing w:after="160" w:line="360" w:lineRule="auto"/>
        <w:jc w:val="both"/>
        <w:rPr>
          <w:rFonts w:ascii="Times New Roman" w:hAnsi="Times New Roman" w:cs="Times New Roman"/>
        </w:rPr>
      </w:pPr>
    </w:p>
    <w:p w14:paraId="5D55ED65" w14:textId="77777777" w:rsidR="00614286"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Figure 11 presents the seasonal NDVI signal with all years combined, complementing the more detailed 2025 series in Figure 13. Mean NDVI is least negative in January (−0.011), at the height of the dry season, and most negative in February (−0.133), coinciding with the onset of the first rains, before rising gradually through June and September. This dry-season peak and rainy-onset trough indicate that apparent vegetation vigour on the lake surface is strongly modulated by season, a factor that must be controlled for when interpreting inter-annual change.</w:t>
      </w:r>
    </w:p>
    <w:p w14:paraId="4481348D" w14:textId="77777777" w:rsidR="00611175" w:rsidRPr="00352C77" w:rsidRDefault="007B6AAF" w:rsidP="00A623D5">
      <w:pPr>
        <w:keepNext/>
        <w:spacing w:before="120" w:after="40" w:line="360" w:lineRule="auto"/>
        <w:jc w:val="center"/>
        <w:rPr>
          <w:rFonts w:ascii="Times New Roman" w:hAnsi="Times New Roman" w:cs="Times New Roman"/>
        </w:rPr>
      </w:pPr>
      <w:r>
        <w:rPr>
          <w:rFonts w:ascii="Times New Roman" w:hAnsi="Times New Roman" w:cs="Times New Roman"/>
          <w:noProof/>
        </w:rPr>
        <w:drawing>
          <wp:inline distT="0" distB="0" distL="0" distR="0" wp14:anchorId="5C516F4F" wp14:editId="3B280556">
            <wp:extent cx="6174647" cy="3054350"/>
            <wp:effectExtent l="0" t="0" r="0" b="0"/>
            <wp:docPr id="1900000004" name="Figure 11: Seasonal NDVI pattern (all years combined)" descr="Figure 11: Seasonal NDVI pattern (all years combined)" title="Figure 11: Seasonal NDVI pattern (all years 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1"/>
                    <a:srcRect/>
                    <a:stretch>
                      <a:fillRect/>
                    </a:stretch>
                  </pic:blipFill>
                  <pic:spPr bwMode="auto">
                    <a:xfrm>
                      <a:off x="0" y="0"/>
                      <a:ext cx="6187401" cy="3060659"/>
                    </a:xfrm>
                    <a:prstGeom prst="rect">
                      <a:avLst/>
                    </a:prstGeom>
                  </pic:spPr>
                </pic:pic>
              </a:graphicData>
            </a:graphic>
          </wp:inline>
        </w:drawing>
      </w:r>
    </w:p>
    <w:p w14:paraId="2BC9DE8A" w14:textId="548DF13D" w:rsidR="00614286" w:rsidRPr="00B740FA" w:rsidRDefault="00611175" w:rsidP="00A623D5">
      <w:pPr>
        <w:pStyle w:val="Caption"/>
        <w:jc w:val="center"/>
        <w:rPr>
          <w:rFonts w:ascii="Times New Roman" w:hAnsi="Times New Roman" w:cs="Times New Roman"/>
        </w:rPr>
      </w:pPr>
      <w:bookmarkStart w:id="129" w:name="_Toc237884372"/>
      <w:r>
        <w:rPr>
          <w:rFonts w:ascii="Times New Roman" w:hAnsi="Times New Roman" w:cs="Times New Roman"/>
        </w:rPr>
        <w:t xml:space="preserve">Figure </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402E51">
        <w:rPr>
          <w:rFonts w:ascii="Times New Roman" w:hAnsi="Times New Roman" w:cs="Times New Roman"/>
          <w:noProof/>
        </w:rPr>
        <w:t>11</w:t>
      </w:r>
      <w:r>
        <w:rPr>
          <w:rFonts w:ascii="Times New Roman" w:hAnsi="Times New Roman" w:cs="Times New Roman"/>
        </w:rPr>
        <w:fldChar w:fldCharType="end"/>
      </w:r>
      <w:r>
        <w:rPr>
          <w:rFonts w:ascii="Times New Roman" w:hAnsi="Times New Roman" w:cs="Times New Roman"/>
        </w:rPr>
        <w:t>: Seasonal NDVI pattern (all years combined)</w:t>
      </w:r>
      <w:bookmarkEnd w:id="129"/>
    </w:p>
    <w:p w14:paraId="7A6B1B63" w14:textId="77777777" w:rsidR="00DB0109" w:rsidRPr="00414D2A"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The companion NDWI series is shown in Figure 12. Because the two indices are inversely related (Section 4.8), the seasonal NDWI curve is close to a mirror image of the NDVI curve in Figure </w:t>
      </w:r>
      <w:r>
        <w:rPr>
          <w:rFonts w:ascii="Times New Roman" w:hAnsi="Times New Roman" w:cs="Times New Roman"/>
        </w:rPr>
        <w:lastRenderedPageBreak/>
        <w:t>11: mean NDWI is lowest in January (0.099), at the height of the dry season, rises sharply to its maximum in February (0.292) at the onset of the first rains, and then settles between 0.182 and 0.261 through March, June and September. The amplitude of the seasonal NDWI signal, 0.193 index units between January and February, is larger than that of the NDVI signal over the same interval, 0.122 units. The water-sensitive index therefore responds more strongly to the seasonal rise in water level and turbidity than the vegetation-sensitive index does, which makes NDWI the more sensitive of the two for detecting seasonal change on Lake Wamala, and confirms that the pair is best interpreted together rather than in isolation.</w:t>
      </w:r>
    </w:p>
    <w:p w14:paraId="7A069B33" w14:textId="77777777" w:rsidR="00611175" w:rsidRPr="00352C77" w:rsidRDefault="007B6AAF" w:rsidP="00A623D5">
      <w:pPr>
        <w:keepNext/>
        <w:spacing w:before="120" w:after="40" w:line="360" w:lineRule="auto"/>
        <w:jc w:val="center"/>
        <w:rPr>
          <w:rFonts w:ascii="Times New Roman" w:hAnsi="Times New Roman" w:cs="Times New Roman"/>
        </w:rPr>
      </w:pPr>
      <w:r>
        <w:rPr>
          <w:rFonts w:ascii="Times New Roman" w:hAnsi="Times New Roman" w:cs="Times New Roman"/>
          <w:noProof/>
        </w:rPr>
        <w:drawing>
          <wp:inline distT="0" distB="0" distL="0" distR="0" wp14:anchorId="096193B4" wp14:editId="7F6C2399">
            <wp:extent cx="6174647" cy="3054350"/>
            <wp:effectExtent l="0" t="0" r="0" b="0"/>
            <wp:docPr id="1900000099" name="Figure 12: Seasonal NDWI pattern (all years combined)" descr="Figure 12: Seasonal NDWI pattern (all years combined)" title="Figure 12: Seasonal NDWI pattern (all years 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a:srcRect/>
                    <a:stretch>
                      <a:fillRect/>
                    </a:stretch>
                  </pic:blipFill>
                  <pic:spPr bwMode="auto">
                    <a:xfrm>
                      <a:off x="0" y="0"/>
                      <a:ext cx="6187401" cy="3060659"/>
                    </a:xfrm>
                    <a:prstGeom prst="rect">
                      <a:avLst/>
                    </a:prstGeom>
                  </pic:spPr>
                </pic:pic>
              </a:graphicData>
            </a:graphic>
          </wp:inline>
        </w:drawing>
      </w:r>
    </w:p>
    <w:p w14:paraId="6A7CE5A4" w14:textId="07A860C3" w:rsidR="00614286" w:rsidRPr="00B740FA" w:rsidRDefault="00611175" w:rsidP="00A623D5">
      <w:pPr>
        <w:pStyle w:val="Caption"/>
        <w:jc w:val="center"/>
        <w:rPr>
          <w:rFonts w:ascii="Times New Roman" w:hAnsi="Times New Roman" w:cs="Times New Roman"/>
        </w:rPr>
      </w:pPr>
      <w:bookmarkStart w:id="130" w:name="_Toc237884373"/>
      <w:r>
        <w:rPr>
          <w:rFonts w:ascii="Times New Roman" w:hAnsi="Times New Roman" w:cs="Times New Roman"/>
        </w:rPr>
        <w:t xml:space="preserve">Figure </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402E51">
        <w:rPr>
          <w:rFonts w:ascii="Times New Roman" w:hAnsi="Times New Roman" w:cs="Times New Roman"/>
          <w:noProof/>
        </w:rPr>
        <w:t>12</w:t>
      </w:r>
      <w:r>
        <w:rPr>
          <w:rFonts w:ascii="Times New Roman" w:hAnsi="Times New Roman" w:cs="Times New Roman"/>
        </w:rPr>
        <w:fldChar w:fldCharType="end"/>
      </w:r>
      <w:r>
        <w:rPr>
          <w:rFonts w:ascii="Times New Roman" w:hAnsi="Times New Roman" w:cs="Times New Roman"/>
        </w:rPr>
        <w:t>: Seasonal NDWI pattern (all years combined)</w:t>
      </w:r>
      <w:bookmarkEnd w:id="130"/>
    </w:p>
    <w:p w14:paraId="5482B6FE" w14:textId="77777777" w:rsidR="00DB0109" w:rsidRPr="00352C77" w:rsidRDefault="007B6AAF" w:rsidP="00A623D5">
      <w:pPr>
        <w:spacing w:before="120" w:after="40" w:line="36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729EA229" wp14:editId="4ABFE938">
            <wp:extent cx="5471666" cy="3257550"/>
            <wp:effectExtent l="0" t="0" r="0" b="0"/>
            <wp:docPr id="409870680" name="Figure 12: Monthly NDVI and NDWI trends in 2025" descr="Figure 12: Monthly NDVI and NDWI trends in 2025" title="Figure 12: Monthly NDVI and NDWI trends in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3"/>
                    <a:srcRect/>
                    <a:stretch>
                      <a:fillRect/>
                    </a:stretch>
                  </pic:blipFill>
                  <pic:spPr bwMode="auto">
                    <a:xfrm>
                      <a:off x="0" y="0"/>
                      <a:ext cx="5485033" cy="3265508"/>
                    </a:xfrm>
                    <a:prstGeom prst="rect">
                      <a:avLst/>
                    </a:prstGeom>
                  </pic:spPr>
                </pic:pic>
              </a:graphicData>
            </a:graphic>
          </wp:inline>
        </w:drawing>
      </w:r>
    </w:p>
    <w:p w14:paraId="35B31620" w14:textId="4859232C" w:rsidR="00DB0109" w:rsidRPr="00352C77" w:rsidRDefault="00611175" w:rsidP="00A623D5">
      <w:pPr>
        <w:pStyle w:val="Caption"/>
        <w:jc w:val="center"/>
        <w:rPr>
          <w:rFonts w:ascii="Times New Roman" w:hAnsi="Times New Roman" w:cs="Times New Roman"/>
        </w:rPr>
      </w:pPr>
      <w:bookmarkStart w:id="131" w:name="_Toc237884374"/>
      <w:r>
        <w:rPr>
          <w:rFonts w:ascii="Times New Roman" w:hAnsi="Times New Roman" w:cs="Times New Roman"/>
        </w:rPr>
        <w:t xml:space="preserve">Figure </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402E51">
        <w:rPr>
          <w:rFonts w:ascii="Times New Roman" w:hAnsi="Times New Roman" w:cs="Times New Roman"/>
          <w:noProof/>
        </w:rPr>
        <w:t>13</w:t>
      </w:r>
      <w:r>
        <w:rPr>
          <w:rFonts w:ascii="Times New Roman" w:hAnsi="Times New Roman" w:cs="Times New Roman"/>
        </w:rPr>
        <w:fldChar w:fldCharType="end"/>
      </w:r>
      <w:r>
        <w:rPr>
          <w:rFonts w:ascii="Times New Roman" w:hAnsi="Times New Roman" w:cs="Times New Roman"/>
        </w:rPr>
        <w:t>: Monthly NDVI and NDWI trends in 2025</w:t>
      </w:r>
      <w:bookmarkEnd w:id="131"/>
    </w:p>
    <w:p w14:paraId="32649A06"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Figure 13 focuses on the 2025 data, which provides the most detailed temporal coverage. The 2025 monthly pattern shows a sharp decline from January (0.014) to February (−0.133), followed by a gradual recovery through March (−0.090), June (−0.056) and September (−0.097). This aligns with the bimodal rainfall distribution of the Lake Victoria basin, where the long rains (March–May) and short rains (September–November) create seasonal variation in lake hydrology and vegetation. The January peak may reflect dry-season conditions with lower water levels and more exposed vegetation, while the February trough may represent the transitional period when rainfall increases turbidity and vegetation is submerged or flushed from the system. The mirror-image trajectory of NDWI, rising as NDVI falls, visually confirms the inverse relationship between the two indices.</w:t>
      </w:r>
    </w:p>
    <w:p w14:paraId="5875AE32" w14:textId="77777777" w:rsidR="003F30FB" w:rsidRPr="00352C77" w:rsidRDefault="007B6AAF" w:rsidP="00A623D5">
      <w:pPr>
        <w:pStyle w:val="Heading3"/>
        <w:spacing w:line="360" w:lineRule="auto"/>
        <w:rPr>
          <w:rFonts w:ascii="Times New Roman" w:hAnsi="Times New Roman" w:cs="Times New Roman"/>
        </w:rPr>
      </w:pPr>
      <w:bookmarkStart w:id="132" w:name="_Toc237884333"/>
      <w:r>
        <w:rPr>
          <w:rFonts w:ascii="Times New Roman" w:hAnsi="Times New Roman" w:cs="Times New Roman"/>
        </w:rPr>
        <w:t>4.6.1 Test of Differences Among Months (Hypothesis H4)</w:t>
      </w:r>
      <w:bookmarkEnd w:id="132"/>
    </w:p>
    <w:p w14:paraId="35A8A216" w14:textId="77777777" w:rsidR="00DB0109" w:rsidRPr="00414D2A"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A one-way analysis of variance confirmed that mean NDVI differed significantly among the five sampled months, </w:t>
      </w:r>
      <w:proofErr w:type="gramStart"/>
      <w:r>
        <w:rPr>
          <w:rFonts w:ascii="Times New Roman" w:hAnsi="Times New Roman" w:cs="Times New Roman"/>
        </w:rPr>
        <w:t>F(</w:t>
      </w:r>
      <w:proofErr w:type="gramEnd"/>
      <w:r>
        <w:rPr>
          <w:rFonts w:ascii="Times New Roman" w:hAnsi="Times New Roman" w:cs="Times New Roman"/>
        </w:rPr>
        <w:t>4, 30291) = 692.2, p &lt; .001, η² = 0.084. The seasonal effect is therefore the largest of the four grouping factors examined in this chapter: month of acquisition accounts for roughly eight percent of the pixel-to-pixel variance in NDVI, against five percent for zone type, four percent for region and two percent for year. Season is thus a stronger determinant of the observed spectral signal on Lake Wamala than either the ecological zone or the year of observation.</w:t>
      </w:r>
    </w:p>
    <w:p w14:paraId="215EEB61" w14:textId="77777777" w:rsidR="00DB0109" w:rsidRPr="00414D2A" w:rsidRDefault="007B6AAF" w:rsidP="00A623D5">
      <w:pPr>
        <w:spacing w:after="160" w:line="360" w:lineRule="auto"/>
        <w:jc w:val="both"/>
        <w:rPr>
          <w:rFonts w:ascii="Times New Roman" w:hAnsi="Times New Roman" w:cs="Times New Roman"/>
        </w:rPr>
      </w:pPr>
      <w:r>
        <w:rPr>
          <w:rFonts w:ascii="Times New Roman" w:hAnsi="Times New Roman" w:cs="Times New Roman"/>
        </w:rPr>
        <w:lastRenderedPageBreak/>
        <w:t>In conclusion, the null hypothesis of no difference in mean NDVI among the five sampled months is rejected. Hypothesis H4 is accepted. The January maximum (−0.011) and the February minimum (−0.133) bracket the seasonal range, and the sharp transition between them coincides with the onset of the first rains, when rising water level, increased turbidity and the inflow of suspended sediment together depress the vegetation signal. The operational consequence is that weed assessments must be compared between matching months, since the within-year change from January to February (0.122 index units) exceeds the entire 2017-to-2022 inter-annual shift (0.076 units).</w:t>
      </w:r>
    </w:p>
    <w:p w14:paraId="5178A35B" w14:textId="77777777" w:rsidR="00DB0109" w:rsidRPr="00352C77" w:rsidRDefault="007B6AAF" w:rsidP="00A623D5">
      <w:pPr>
        <w:pStyle w:val="Heading2"/>
        <w:spacing w:line="360" w:lineRule="auto"/>
        <w:rPr>
          <w:rFonts w:ascii="Times New Roman" w:hAnsi="Times New Roman" w:cs="Times New Roman"/>
        </w:rPr>
      </w:pPr>
      <w:bookmarkStart w:id="133" w:name="_Toc237884334"/>
      <w:r>
        <w:rPr>
          <w:rFonts w:ascii="Times New Roman" w:hAnsi="Times New Roman" w:cs="Times New Roman"/>
        </w:rPr>
        <w:t>4.7 Weed-Cover Classification and Mapping</w:t>
      </w:r>
      <w:bookmarkEnd w:id="133"/>
    </w:p>
    <w:p w14:paraId="1C1FBFF7"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Using NDVI thresholds (Low/No Vegetation for NDVI &lt; 0.1; Moderate Vegetation for 0.1–0.3; High Vegetation for NDVI &gt; 0.3), 95.16% of all pixels (28,831 of 30,296) fell into the Low/No Vegetation class, with a mean NDVI of −0.103 and mean NDWI of 0.238. Only 1.34% (405 pixels) were classified as Moderate Vegetation (mean NDVI 0.184, mean NDWI −0.076), and 3.50% (1,060 pixels) as High Vegetation (mean NDVI 0.649, mean NDWI −0.568). The strong negative NDWI of high-vegetation pixels confirms the effectiveness of the classification, since dense vegetation absorbs water-related wavelengths and reflects strongly in the near-infrared.</w:t>
      </w:r>
    </w:p>
    <w:p w14:paraId="09141B69" w14:textId="77777777" w:rsidR="009658D1" w:rsidRPr="00352C77" w:rsidRDefault="009658D1" w:rsidP="00A623D5">
      <w:pPr>
        <w:pStyle w:val="Caption"/>
        <w:rPr>
          <w:rFonts w:ascii="Times New Roman" w:hAnsi="Times New Roman" w:cs="Times New Roman"/>
        </w:rPr>
      </w:pPr>
      <w:bookmarkStart w:id="134" w:name="_Toc237884357"/>
      <w:r>
        <w:rPr>
          <w:rFonts w:ascii="Times New Roman" w:hAnsi="Times New Roman" w:cs="Times New Roman"/>
        </w:rPr>
        <w:t xml:space="preserve">Table </w:t>
      </w:r>
      <w:r>
        <w:rPr>
          <w:rFonts w:ascii="Times New Roman" w:hAnsi="Times New Roman" w:cs="Times New Roman"/>
        </w:rPr>
        <w:fldChar w:fldCharType="begin"/>
      </w:r>
      <w:r>
        <w:rPr>
          <w:rFonts w:ascii="Times New Roman" w:hAnsi="Times New Roman" w:cs="Times New Roman"/>
        </w:rPr>
        <w:instrText xml:space="preserve"> SEQ Table \* ARABIC </w:instrText>
      </w:r>
      <w:r>
        <w:rPr>
          <w:rFonts w:ascii="Times New Roman" w:hAnsi="Times New Roman" w:cs="Times New Roman"/>
        </w:rPr>
        <w:fldChar w:fldCharType="separate"/>
      </w:r>
      <w:r>
        <w:rPr>
          <w:rFonts w:ascii="Times New Roman" w:hAnsi="Times New Roman" w:cs="Times New Roman"/>
          <w:noProof/>
        </w:rPr>
        <w:t>9</w:t>
      </w:r>
      <w:r>
        <w:rPr>
          <w:rFonts w:ascii="Times New Roman" w:hAnsi="Times New Roman" w:cs="Times New Roman"/>
        </w:rPr>
        <w:fldChar w:fldCharType="end"/>
      </w:r>
      <w:r>
        <w:rPr>
          <w:rFonts w:ascii="Times New Roman" w:hAnsi="Times New Roman" w:cs="Times New Roman"/>
        </w:rPr>
        <w:t>: Weed-Cover Classification Results</w:t>
      </w:r>
      <w:bookmarkEnd w:id="134"/>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60"/>
        <w:gridCol w:w="1600"/>
        <w:gridCol w:w="1500"/>
        <w:gridCol w:w="1450"/>
        <w:gridCol w:w="1450"/>
      </w:tblGrid>
      <w:tr w:rsidR="00BC1555" w14:paraId="0E7574B4" w14:textId="77777777">
        <w:trPr>
          <w:tblHeader/>
        </w:trPr>
        <w:tc>
          <w:tcPr>
            <w:tcW w:w="3360" w:type="dxa"/>
            <w:shd w:val="clear" w:color="auto" w:fill="2E6B5E"/>
            <w:tcMar>
              <w:top w:w="60" w:type="dxa"/>
              <w:left w:w="110" w:type="dxa"/>
              <w:bottom w:w="60" w:type="dxa"/>
              <w:right w:w="110" w:type="dxa"/>
            </w:tcMar>
            <w:vAlign w:val="center"/>
          </w:tcPr>
          <w:p w14:paraId="636C32DB"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b/>
                <w:bCs/>
                <w:color w:val="FFFFFF"/>
                <w:sz w:val="20"/>
                <w:szCs w:val="20"/>
              </w:rPr>
              <w:t>Weed Class</w:t>
            </w:r>
          </w:p>
        </w:tc>
        <w:tc>
          <w:tcPr>
            <w:tcW w:w="1600" w:type="dxa"/>
            <w:shd w:val="clear" w:color="auto" w:fill="2E6B5E"/>
            <w:tcMar>
              <w:top w:w="60" w:type="dxa"/>
              <w:left w:w="110" w:type="dxa"/>
              <w:bottom w:w="60" w:type="dxa"/>
              <w:right w:w="110" w:type="dxa"/>
            </w:tcMar>
            <w:vAlign w:val="center"/>
          </w:tcPr>
          <w:p w14:paraId="48E7DFBD"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b/>
                <w:bCs/>
                <w:color w:val="FFFFFF"/>
                <w:sz w:val="20"/>
                <w:szCs w:val="20"/>
              </w:rPr>
              <w:t>Pixel Count</w:t>
            </w:r>
          </w:p>
        </w:tc>
        <w:tc>
          <w:tcPr>
            <w:tcW w:w="1500" w:type="dxa"/>
            <w:shd w:val="clear" w:color="auto" w:fill="2E6B5E"/>
            <w:tcMar>
              <w:top w:w="60" w:type="dxa"/>
              <w:left w:w="110" w:type="dxa"/>
              <w:bottom w:w="60" w:type="dxa"/>
              <w:right w:w="110" w:type="dxa"/>
            </w:tcMar>
            <w:vAlign w:val="center"/>
          </w:tcPr>
          <w:p w14:paraId="027F29E2"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b/>
                <w:bCs/>
                <w:color w:val="FFFFFF"/>
                <w:sz w:val="20"/>
                <w:szCs w:val="20"/>
              </w:rPr>
              <w:t>Percentage</w:t>
            </w:r>
          </w:p>
        </w:tc>
        <w:tc>
          <w:tcPr>
            <w:tcW w:w="1450" w:type="dxa"/>
            <w:shd w:val="clear" w:color="auto" w:fill="2E6B5E"/>
            <w:tcMar>
              <w:top w:w="60" w:type="dxa"/>
              <w:left w:w="110" w:type="dxa"/>
              <w:bottom w:w="60" w:type="dxa"/>
              <w:right w:w="110" w:type="dxa"/>
            </w:tcMar>
            <w:vAlign w:val="center"/>
          </w:tcPr>
          <w:p w14:paraId="63767CDF"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b/>
                <w:bCs/>
                <w:color w:val="FFFFFF"/>
                <w:sz w:val="20"/>
                <w:szCs w:val="20"/>
              </w:rPr>
              <w:t>Mean NDVI</w:t>
            </w:r>
          </w:p>
        </w:tc>
        <w:tc>
          <w:tcPr>
            <w:tcW w:w="1450" w:type="dxa"/>
            <w:shd w:val="clear" w:color="auto" w:fill="2E6B5E"/>
            <w:tcMar>
              <w:top w:w="60" w:type="dxa"/>
              <w:left w:w="110" w:type="dxa"/>
              <w:bottom w:w="60" w:type="dxa"/>
              <w:right w:w="110" w:type="dxa"/>
            </w:tcMar>
            <w:vAlign w:val="center"/>
          </w:tcPr>
          <w:p w14:paraId="53A15293"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b/>
                <w:bCs/>
                <w:color w:val="FFFFFF"/>
                <w:sz w:val="20"/>
                <w:szCs w:val="20"/>
              </w:rPr>
              <w:t>Mean NDWI</w:t>
            </w:r>
          </w:p>
        </w:tc>
      </w:tr>
      <w:tr w:rsidR="00BC1555" w14:paraId="78942AF9" w14:textId="77777777">
        <w:tc>
          <w:tcPr>
            <w:tcW w:w="3360" w:type="dxa"/>
            <w:tcMar>
              <w:top w:w="60" w:type="dxa"/>
              <w:left w:w="110" w:type="dxa"/>
              <w:bottom w:w="60" w:type="dxa"/>
              <w:right w:w="110" w:type="dxa"/>
            </w:tcMar>
            <w:vAlign w:val="center"/>
          </w:tcPr>
          <w:p w14:paraId="1899F5D3"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Low/No Vegetation (Open Water)</w:t>
            </w:r>
          </w:p>
        </w:tc>
        <w:tc>
          <w:tcPr>
            <w:tcW w:w="1600" w:type="dxa"/>
            <w:tcMar>
              <w:top w:w="60" w:type="dxa"/>
              <w:left w:w="110" w:type="dxa"/>
              <w:bottom w:w="60" w:type="dxa"/>
              <w:right w:w="110" w:type="dxa"/>
            </w:tcMar>
            <w:vAlign w:val="center"/>
          </w:tcPr>
          <w:p w14:paraId="65785107"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28,831</w:t>
            </w:r>
          </w:p>
        </w:tc>
        <w:tc>
          <w:tcPr>
            <w:tcW w:w="1500" w:type="dxa"/>
            <w:tcMar>
              <w:top w:w="60" w:type="dxa"/>
              <w:left w:w="110" w:type="dxa"/>
              <w:bottom w:w="60" w:type="dxa"/>
              <w:right w:w="110" w:type="dxa"/>
            </w:tcMar>
            <w:vAlign w:val="center"/>
          </w:tcPr>
          <w:p w14:paraId="53C96E48"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95.16%</w:t>
            </w:r>
          </w:p>
        </w:tc>
        <w:tc>
          <w:tcPr>
            <w:tcW w:w="1450" w:type="dxa"/>
            <w:tcMar>
              <w:top w:w="60" w:type="dxa"/>
              <w:left w:w="110" w:type="dxa"/>
              <w:bottom w:w="60" w:type="dxa"/>
              <w:right w:w="110" w:type="dxa"/>
            </w:tcMar>
            <w:vAlign w:val="center"/>
          </w:tcPr>
          <w:p w14:paraId="719899D8"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−0.103</w:t>
            </w:r>
          </w:p>
        </w:tc>
        <w:tc>
          <w:tcPr>
            <w:tcW w:w="1450" w:type="dxa"/>
            <w:tcMar>
              <w:top w:w="60" w:type="dxa"/>
              <w:left w:w="110" w:type="dxa"/>
              <w:bottom w:w="60" w:type="dxa"/>
              <w:right w:w="110" w:type="dxa"/>
            </w:tcMar>
            <w:vAlign w:val="center"/>
          </w:tcPr>
          <w:p w14:paraId="0652DD92"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0.238</w:t>
            </w:r>
          </w:p>
        </w:tc>
      </w:tr>
      <w:tr w:rsidR="00BC1555" w14:paraId="58CF78B6" w14:textId="77777777">
        <w:tc>
          <w:tcPr>
            <w:tcW w:w="3360" w:type="dxa"/>
            <w:shd w:val="clear" w:color="auto" w:fill="EEF4F2"/>
            <w:tcMar>
              <w:top w:w="60" w:type="dxa"/>
              <w:left w:w="110" w:type="dxa"/>
              <w:bottom w:w="60" w:type="dxa"/>
              <w:right w:w="110" w:type="dxa"/>
            </w:tcMar>
            <w:vAlign w:val="center"/>
          </w:tcPr>
          <w:p w14:paraId="210BD52D"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Moderate Vegetation</w:t>
            </w:r>
          </w:p>
        </w:tc>
        <w:tc>
          <w:tcPr>
            <w:tcW w:w="1600" w:type="dxa"/>
            <w:shd w:val="clear" w:color="auto" w:fill="EEF4F2"/>
            <w:tcMar>
              <w:top w:w="60" w:type="dxa"/>
              <w:left w:w="110" w:type="dxa"/>
              <w:bottom w:w="60" w:type="dxa"/>
              <w:right w:w="110" w:type="dxa"/>
            </w:tcMar>
            <w:vAlign w:val="center"/>
          </w:tcPr>
          <w:p w14:paraId="5DFDF224"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405</w:t>
            </w:r>
          </w:p>
        </w:tc>
        <w:tc>
          <w:tcPr>
            <w:tcW w:w="1500" w:type="dxa"/>
            <w:shd w:val="clear" w:color="auto" w:fill="EEF4F2"/>
            <w:tcMar>
              <w:top w:w="60" w:type="dxa"/>
              <w:left w:w="110" w:type="dxa"/>
              <w:bottom w:w="60" w:type="dxa"/>
              <w:right w:w="110" w:type="dxa"/>
            </w:tcMar>
            <w:vAlign w:val="center"/>
          </w:tcPr>
          <w:p w14:paraId="723F4443"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1.34%</w:t>
            </w:r>
          </w:p>
        </w:tc>
        <w:tc>
          <w:tcPr>
            <w:tcW w:w="1450" w:type="dxa"/>
            <w:shd w:val="clear" w:color="auto" w:fill="EEF4F2"/>
            <w:tcMar>
              <w:top w:w="60" w:type="dxa"/>
              <w:left w:w="110" w:type="dxa"/>
              <w:bottom w:w="60" w:type="dxa"/>
              <w:right w:w="110" w:type="dxa"/>
            </w:tcMar>
            <w:vAlign w:val="center"/>
          </w:tcPr>
          <w:p w14:paraId="002AC1D8"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0.184</w:t>
            </w:r>
          </w:p>
        </w:tc>
        <w:tc>
          <w:tcPr>
            <w:tcW w:w="1450" w:type="dxa"/>
            <w:shd w:val="clear" w:color="auto" w:fill="EEF4F2"/>
            <w:tcMar>
              <w:top w:w="60" w:type="dxa"/>
              <w:left w:w="110" w:type="dxa"/>
              <w:bottom w:w="60" w:type="dxa"/>
              <w:right w:w="110" w:type="dxa"/>
            </w:tcMar>
            <w:vAlign w:val="center"/>
          </w:tcPr>
          <w:p w14:paraId="035B268E"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−0.076</w:t>
            </w:r>
          </w:p>
        </w:tc>
      </w:tr>
      <w:tr w:rsidR="00BC1555" w14:paraId="5C8B5BC9" w14:textId="77777777">
        <w:tc>
          <w:tcPr>
            <w:tcW w:w="3360" w:type="dxa"/>
            <w:tcMar>
              <w:top w:w="60" w:type="dxa"/>
              <w:left w:w="110" w:type="dxa"/>
              <w:bottom w:w="60" w:type="dxa"/>
              <w:right w:w="110" w:type="dxa"/>
            </w:tcMar>
            <w:vAlign w:val="center"/>
          </w:tcPr>
          <w:p w14:paraId="4BD4CD80"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High Vegetation (Weeds)</w:t>
            </w:r>
          </w:p>
        </w:tc>
        <w:tc>
          <w:tcPr>
            <w:tcW w:w="1600" w:type="dxa"/>
            <w:tcMar>
              <w:top w:w="60" w:type="dxa"/>
              <w:left w:w="110" w:type="dxa"/>
              <w:bottom w:w="60" w:type="dxa"/>
              <w:right w:w="110" w:type="dxa"/>
            </w:tcMar>
            <w:vAlign w:val="center"/>
          </w:tcPr>
          <w:p w14:paraId="3DDC7CD8"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1,060</w:t>
            </w:r>
          </w:p>
        </w:tc>
        <w:tc>
          <w:tcPr>
            <w:tcW w:w="1500" w:type="dxa"/>
            <w:tcMar>
              <w:top w:w="60" w:type="dxa"/>
              <w:left w:w="110" w:type="dxa"/>
              <w:bottom w:w="60" w:type="dxa"/>
              <w:right w:w="110" w:type="dxa"/>
            </w:tcMar>
            <w:vAlign w:val="center"/>
          </w:tcPr>
          <w:p w14:paraId="4EAE4009"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3.50%</w:t>
            </w:r>
          </w:p>
        </w:tc>
        <w:tc>
          <w:tcPr>
            <w:tcW w:w="1450" w:type="dxa"/>
            <w:tcMar>
              <w:top w:w="60" w:type="dxa"/>
              <w:left w:w="110" w:type="dxa"/>
              <w:bottom w:w="60" w:type="dxa"/>
              <w:right w:w="110" w:type="dxa"/>
            </w:tcMar>
            <w:vAlign w:val="center"/>
          </w:tcPr>
          <w:p w14:paraId="0DDB83BF"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0.649</w:t>
            </w:r>
          </w:p>
        </w:tc>
        <w:tc>
          <w:tcPr>
            <w:tcW w:w="1450" w:type="dxa"/>
            <w:tcMar>
              <w:top w:w="60" w:type="dxa"/>
              <w:left w:w="110" w:type="dxa"/>
              <w:bottom w:w="60" w:type="dxa"/>
              <w:right w:w="110" w:type="dxa"/>
            </w:tcMar>
            <w:vAlign w:val="center"/>
          </w:tcPr>
          <w:p w14:paraId="3959EE22"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−0.568</w:t>
            </w:r>
          </w:p>
        </w:tc>
      </w:tr>
    </w:tbl>
    <w:p w14:paraId="19A5E82A" w14:textId="77777777" w:rsidR="00611175" w:rsidRPr="00352C77" w:rsidRDefault="007B6AAF" w:rsidP="00A623D5">
      <w:pPr>
        <w:keepNext/>
        <w:spacing w:before="120" w:after="40" w:line="36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3F62D998" wp14:editId="4E42644D">
            <wp:extent cx="5905500" cy="3543300"/>
            <wp:effectExtent l="0" t="0" r="0" b="0"/>
            <wp:docPr id="1417613339" name="Figure 13: Weed-cover classification by year" descr="Figure 13: Weed-cover classification by year" title="Figure 13: Weed-cover classification by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4"/>
                    <a:srcRect/>
                    <a:stretch>
                      <a:fillRect/>
                    </a:stretch>
                  </pic:blipFill>
                  <pic:spPr bwMode="auto">
                    <a:xfrm>
                      <a:off x="0" y="0"/>
                      <a:ext cx="5907055" cy="3544233"/>
                    </a:xfrm>
                    <a:prstGeom prst="rect">
                      <a:avLst/>
                    </a:prstGeom>
                  </pic:spPr>
                </pic:pic>
              </a:graphicData>
            </a:graphic>
          </wp:inline>
        </w:drawing>
      </w:r>
    </w:p>
    <w:p w14:paraId="0CC8507A" w14:textId="02A1F66F" w:rsidR="00DB0109" w:rsidRPr="00352C77" w:rsidRDefault="00611175" w:rsidP="00A623D5">
      <w:pPr>
        <w:pStyle w:val="Caption"/>
        <w:jc w:val="center"/>
        <w:rPr>
          <w:rFonts w:ascii="Times New Roman" w:hAnsi="Times New Roman" w:cs="Times New Roman"/>
        </w:rPr>
      </w:pPr>
      <w:bookmarkStart w:id="135" w:name="_Toc237884375"/>
      <w:r>
        <w:rPr>
          <w:rFonts w:ascii="Times New Roman" w:hAnsi="Times New Roman" w:cs="Times New Roman"/>
        </w:rPr>
        <w:t xml:space="preserve">Figure </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402E51">
        <w:rPr>
          <w:rFonts w:ascii="Times New Roman" w:hAnsi="Times New Roman" w:cs="Times New Roman"/>
          <w:noProof/>
        </w:rPr>
        <w:t>14</w:t>
      </w:r>
      <w:r>
        <w:rPr>
          <w:rFonts w:ascii="Times New Roman" w:hAnsi="Times New Roman" w:cs="Times New Roman"/>
        </w:rPr>
        <w:fldChar w:fldCharType="end"/>
      </w:r>
      <w:r>
        <w:rPr>
          <w:rFonts w:ascii="Times New Roman" w:hAnsi="Times New Roman" w:cs="Times New Roman"/>
        </w:rPr>
        <w:t>: Weed-cover classification by year</w:t>
      </w:r>
      <w:bookmarkEnd w:id="135"/>
    </w:p>
    <w:p w14:paraId="7BC41B27"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Figure 14 shows the distribution of cover classes across the three years. The high proportion of open-water and low-vegetation pixels in every year is evident, with 2017 showing the largest share of low/no-vegetation cover and a visible band of high weed cover, consistent with the elevated 2017 vegetation values noted earlier.</w:t>
      </w:r>
    </w:p>
    <w:p w14:paraId="2D52A845" w14:textId="77777777" w:rsidR="00611175" w:rsidRPr="00352C77" w:rsidRDefault="007B6AAF" w:rsidP="00A623D5">
      <w:pPr>
        <w:keepNext/>
        <w:spacing w:before="120" w:after="40" w:line="36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640EADC5" wp14:editId="222D4991">
            <wp:extent cx="5312833" cy="3187700"/>
            <wp:effectExtent l="0" t="0" r="2540" b="0"/>
            <wp:docPr id="1474705122" name="Figure 14: Weed-cover classification by region" descr="Figure 14: Weed-cover classification by region" title="Figure 14: Weed-cover classification b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5"/>
                    <a:srcRect/>
                    <a:stretch>
                      <a:fillRect/>
                    </a:stretch>
                  </pic:blipFill>
                  <pic:spPr bwMode="auto">
                    <a:xfrm>
                      <a:off x="0" y="0"/>
                      <a:ext cx="5321561" cy="3192937"/>
                    </a:xfrm>
                    <a:prstGeom prst="rect">
                      <a:avLst/>
                    </a:prstGeom>
                  </pic:spPr>
                </pic:pic>
              </a:graphicData>
            </a:graphic>
          </wp:inline>
        </w:drawing>
      </w:r>
    </w:p>
    <w:p w14:paraId="570E37B5" w14:textId="020DC367" w:rsidR="00DB0109" w:rsidRPr="00352C77" w:rsidRDefault="00611175" w:rsidP="00A623D5">
      <w:pPr>
        <w:pStyle w:val="Caption"/>
        <w:jc w:val="center"/>
        <w:rPr>
          <w:rFonts w:ascii="Times New Roman" w:hAnsi="Times New Roman" w:cs="Times New Roman"/>
        </w:rPr>
      </w:pPr>
      <w:bookmarkStart w:id="136" w:name="_Toc237884376"/>
      <w:r>
        <w:rPr>
          <w:rFonts w:ascii="Times New Roman" w:hAnsi="Times New Roman" w:cs="Times New Roman"/>
        </w:rPr>
        <w:t xml:space="preserve">Figure </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402E51">
        <w:rPr>
          <w:rFonts w:ascii="Times New Roman" w:hAnsi="Times New Roman" w:cs="Times New Roman"/>
          <w:noProof/>
        </w:rPr>
        <w:t>15</w:t>
      </w:r>
      <w:r>
        <w:rPr>
          <w:rFonts w:ascii="Times New Roman" w:hAnsi="Times New Roman" w:cs="Times New Roman"/>
        </w:rPr>
        <w:fldChar w:fldCharType="end"/>
      </w:r>
      <w:r>
        <w:rPr>
          <w:rFonts w:ascii="Times New Roman" w:hAnsi="Times New Roman" w:cs="Times New Roman"/>
        </w:rPr>
        <w:t>: Weed-cover classification by region</w:t>
      </w:r>
      <w:bookmarkEnd w:id="136"/>
    </w:p>
    <w:p w14:paraId="577BF005"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Figure 15 disaggregates the classification by region. The Southern region exhibited the highest proportion of high-vegetation pixels (12.02%), followed by the Eastern region (4.93%) and the Northern region (1.47%). The Western region had no pixels classified as high vegetation, and the Dynamic Targeting region only 1.46%. This pattern strongly indicates that the Southern and Eastern regions are the primary hotspots for excessive weed infestation, likely owing to shallower bathymetry, higher nutrient loads from agricultural runoff and favourable conditions for proliferation. Notably, the Excessive Weed Infestation Hotspot, High Seasonal Infestation Variation and Very High Variation Sudd zones had 100% of their pixels classified as low vegetation. This counter-intuitive result suggests that zones labelled as weed hotspots by the management framework may represent areas where vegetation is consistently dense but spectrally mixed with water, producing NDVI below the 0.3 threshold, or where vegetation is highly variable so that the sample captured periods of low cover.</w:t>
      </w:r>
    </w:p>
    <w:p w14:paraId="48B3E4C7" w14:textId="77777777" w:rsidR="00DB0109" w:rsidRPr="00414D2A"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The classification threshold itself contributes to this outcome. The value adopted here for high vegetation (NDVI &gt; 0.3) is conservative by comparison with the range of 0.2 to 0.4 used in comparable studies, and a stricter threshold necessarily reduces the proportion of pixels assigned to the dense-weed class, particularly in the mixed, water-dominated pixels discussed in Section 4.3. Part of the discrepancy between the management-designated hotspots and their measured </w:t>
      </w:r>
      <w:r>
        <w:rPr>
          <w:rFonts w:ascii="Times New Roman" w:hAnsi="Times New Roman" w:cs="Times New Roman"/>
        </w:rPr>
        <w:lastRenderedPageBreak/>
        <w:t>cover is therefore methodological rather than ecological. Since no simultaneous ground observations were available, the threshold could not be calibrated locally; doing so against field-measured cover would be the single most valuable improvement to the classification, and machine-learning classifiers trained on such data have been shown to outperform fixed thresholds on comparable lakes (</w:t>
      </w:r>
      <w:proofErr w:type="spellStart"/>
      <w:r>
        <w:rPr>
          <w:rFonts w:ascii="Times New Roman" w:hAnsi="Times New Roman" w:cs="Times New Roman"/>
        </w:rPr>
        <w:t>Belayhun</w:t>
      </w:r>
      <w:proofErr w:type="spellEnd"/>
      <w:r>
        <w:rPr>
          <w:rFonts w:ascii="Times New Roman" w:hAnsi="Times New Roman" w:cs="Times New Roman"/>
        </w:rPr>
        <w:t xml:space="preserve"> et al., 2024; Singh et al., 2020).</w:t>
      </w:r>
    </w:p>
    <w:p w14:paraId="385C94E3" w14:textId="77777777" w:rsidR="00DB0109" w:rsidRPr="00352C77" w:rsidRDefault="007B6AAF" w:rsidP="00A623D5">
      <w:pPr>
        <w:pStyle w:val="Heading2"/>
        <w:spacing w:line="360" w:lineRule="auto"/>
        <w:rPr>
          <w:rFonts w:ascii="Times New Roman" w:hAnsi="Times New Roman" w:cs="Times New Roman"/>
        </w:rPr>
      </w:pPr>
      <w:bookmarkStart w:id="137" w:name="_Toc237884335"/>
      <w:r>
        <w:rPr>
          <w:rFonts w:ascii="Times New Roman" w:hAnsi="Times New Roman" w:cs="Times New Roman"/>
        </w:rPr>
        <w:t>4.8 NDVI–NDWI Relationship Analysis</w:t>
      </w:r>
      <w:bookmarkEnd w:id="137"/>
    </w:p>
    <w:p w14:paraId="52C8A633"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The correlation between NDVI and NDWI was strongly negative across all zone types, confirming the complementary nature of the two indices. Overall, NDVI and NDWI were inversely correlated with a Pearson coefficient of r = −0.971, indicating that the two indices together provide robust discrimination between water and vegetation across the lake as a whole. At the zone level, coefficients ranged from −0.743 in the High Seasonal Infestation Variation zone to −0.989 in the No Weed Infestation Control zone. The strongest negative correlations were in Open Water (−0.985), Near Shore (−0.964) and Transitional (−0.955) zones, indicating clear spectral separation; the weakest correlation, in the High Seasonal Infestation Variation zone, reflects the mixed spectral signatures characteristic of areas with high temporal variability in vegetation cover.</w:t>
      </w:r>
    </w:p>
    <w:p w14:paraId="769CD548" w14:textId="77777777" w:rsidR="009658D1" w:rsidRPr="00352C77" w:rsidRDefault="009658D1" w:rsidP="00A623D5">
      <w:pPr>
        <w:pStyle w:val="Caption"/>
        <w:rPr>
          <w:rFonts w:ascii="Times New Roman" w:hAnsi="Times New Roman" w:cs="Times New Roman"/>
        </w:rPr>
      </w:pPr>
      <w:bookmarkStart w:id="138" w:name="_Toc237884358"/>
      <w:r>
        <w:rPr>
          <w:rFonts w:ascii="Times New Roman" w:hAnsi="Times New Roman" w:cs="Times New Roman"/>
        </w:rPr>
        <w:t xml:space="preserve">Table </w:t>
      </w:r>
      <w:r>
        <w:rPr>
          <w:rFonts w:ascii="Times New Roman" w:hAnsi="Times New Roman" w:cs="Times New Roman"/>
        </w:rPr>
        <w:fldChar w:fldCharType="begin"/>
      </w:r>
      <w:r>
        <w:rPr>
          <w:rFonts w:ascii="Times New Roman" w:hAnsi="Times New Roman" w:cs="Times New Roman"/>
        </w:rPr>
        <w:instrText xml:space="preserve"> SEQ Table \* ARABIC </w:instrText>
      </w:r>
      <w:r>
        <w:rPr>
          <w:rFonts w:ascii="Times New Roman" w:hAnsi="Times New Roman" w:cs="Times New Roman"/>
        </w:rPr>
        <w:fldChar w:fldCharType="separate"/>
      </w:r>
      <w:r>
        <w:rPr>
          <w:rFonts w:ascii="Times New Roman" w:hAnsi="Times New Roman" w:cs="Times New Roman"/>
          <w:noProof/>
        </w:rPr>
        <w:t>10</w:t>
      </w:r>
      <w:r>
        <w:rPr>
          <w:rFonts w:ascii="Times New Roman" w:hAnsi="Times New Roman" w:cs="Times New Roman"/>
        </w:rPr>
        <w:fldChar w:fldCharType="end"/>
      </w:r>
      <w:r>
        <w:rPr>
          <w:rFonts w:ascii="Times New Roman" w:hAnsi="Times New Roman" w:cs="Times New Roman"/>
        </w:rPr>
        <w:t>: NDVI–NDWI Pearson Correlation by Zone Type</w:t>
      </w:r>
      <w:bookmarkEnd w:id="138"/>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360"/>
        <w:gridCol w:w="3000"/>
      </w:tblGrid>
      <w:tr w:rsidR="00BC1555" w14:paraId="4DB457C1" w14:textId="77777777">
        <w:trPr>
          <w:tblHeader/>
        </w:trPr>
        <w:tc>
          <w:tcPr>
            <w:tcW w:w="6360" w:type="dxa"/>
            <w:shd w:val="clear" w:color="auto" w:fill="2E6B5E"/>
            <w:tcMar>
              <w:top w:w="60" w:type="dxa"/>
              <w:left w:w="110" w:type="dxa"/>
              <w:bottom w:w="60" w:type="dxa"/>
              <w:right w:w="110" w:type="dxa"/>
            </w:tcMar>
            <w:vAlign w:val="center"/>
          </w:tcPr>
          <w:p w14:paraId="79AF146D"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b/>
                <w:bCs/>
                <w:color w:val="FFFFFF"/>
                <w:sz w:val="20"/>
                <w:szCs w:val="20"/>
              </w:rPr>
              <w:t>Zone Type</w:t>
            </w:r>
          </w:p>
        </w:tc>
        <w:tc>
          <w:tcPr>
            <w:tcW w:w="3000" w:type="dxa"/>
            <w:shd w:val="clear" w:color="auto" w:fill="2E6B5E"/>
            <w:tcMar>
              <w:top w:w="60" w:type="dxa"/>
              <w:left w:w="110" w:type="dxa"/>
              <w:bottom w:w="60" w:type="dxa"/>
              <w:right w:w="110" w:type="dxa"/>
            </w:tcMar>
            <w:vAlign w:val="center"/>
          </w:tcPr>
          <w:p w14:paraId="4CAFA1BE"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b/>
                <w:bCs/>
                <w:color w:val="FFFFFF"/>
                <w:sz w:val="20"/>
                <w:szCs w:val="20"/>
              </w:rPr>
              <w:t>Pearson r</w:t>
            </w:r>
          </w:p>
        </w:tc>
      </w:tr>
      <w:tr w:rsidR="00BC1555" w14:paraId="3CA0201D" w14:textId="77777777">
        <w:tc>
          <w:tcPr>
            <w:tcW w:w="6360" w:type="dxa"/>
            <w:tcMar>
              <w:top w:w="60" w:type="dxa"/>
              <w:left w:w="110" w:type="dxa"/>
              <w:bottom w:w="60" w:type="dxa"/>
              <w:right w:w="110" w:type="dxa"/>
            </w:tcMar>
            <w:vAlign w:val="center"/>
          </w:tcPr>
          <w:p w14:paraId="1A5E601D"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No Weed Infestation Control</w:t>
            </w:r>
          </w:p>
        </w:tc>
        <w:tc>
          <w:tcPr>
            <w:tcW w:w="3000" w:type="dxa"/>
            <w:tcMar>
              <w:top w:w="60" w:type="dxa"/>
              <w:left w:w="110" w:type="dxa"/>
              <w:bottom w:w="60" w:type="dxa"/>
              <w:right w:w="110" w:type="dxa"/>
            </w:tcMar>
            <w:vAlign w:val="center"/>
          </w:tcPr>
          <w:p w14:paraId="319A03FD"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−0.989</w:t>
            </w:r>
          </w:p>
        </w:tc>
      </w:tr>
      <w:tr w:rsidR="00BC1555" w14:paraId="300E13D0" w14:textId="77777777">
        <w:tc>
          <w:tcPr>
            <w:tcW w:w="6360" w:type="dxa"/>
            <w:shd w:val="clear" w:color="auto" w:fill="EEF4F2"/>
            <w:tcMar>
              <w:top w:w="60" w:type="dxa"/>
              <w:left w:w="110" w:type="dxa"/>
              <w:bottom w:w="60" w:type="dxa"/>
              <w:right w:w="110" w:type="dxa"/>
            </w:tcMar>
            <w:vAlign w:val="center"/>
          </w:tcPr>
          <w:p w14:paraId="682E6F3D"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Open Water</w:t>
            </w:r>
          </w:p>
        </w:tc>
        <w:tc>
          <w:tcPr>
            <w:tcW w:w="3000" w:type="dxa"/>
            <w:shd w:val="clear" w:color="auto" w:fill="EEF4F2"/>
            <w:tcMar>
              <w:top w:w="60" w:type="dxa"/>
              <w:left w:w="110" w:type="dxa"/>
              <w:bottom w:w="60" w:type="dxa"/>
              <w:right w:w="110" w:type="dxa"/>
            </w:tcMar>
            <w:vAlign w:val="center"/>
          </w:tcPr>
          <w:p w14:paraId="586E709E"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−0.985</w:t>
            </w:r>
          </w:p>
        </w:tc>
      </w:tr>
      <w:tr w:rsidR="00BC1555" w14:paraId="4F56584E" w14:textId="77777777">
        <w:tc>
          <w:tcPr>
            <w:tcW w:w="6360" w:type="dxa"/>
            <w:tcMar>
              <w:top w:w="60" w:type="dxa"/>
              <w:left w:w="110" w:type="dxa"/>
              <w:bottom w:w="60" w:type="dxa"/>
              <w:right w:w="110" w:type="dxa"/>
            </w:tcMar>
            <w:vAlign w:val="center"/>
          </w:tcPr>
          <w:p w14:paraId="6D51B3BB"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Near Shore</w:t>
            </w:r>
          </w:p>
        </w:tc>
        <w:tc>
          <w:tcPr>
            <w:tcW w:w="3000" w:type="dxa"/>
            <w:tcMar>
              <w:top w:w="60" w:type="dxa"/>
              <w:left w:w="110" w:type="dxa"/>
              <w:bottom w:w="60" w:type="dxa"/>
              <w:right w:w="110" w:type="dxa"/>
            </w:tcMar>
            <w:vAlign w:val="center"/>
          </w:tcPr>
          <w:p w14:paraId="7269062A"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−0.964</w:t>
            </w:r>
          </w:p>
        </w:tc>
      </w:tr>
      <w:tr w:rsidR="00BC1555" w14:paraId="4950E91D" w14:textId="77777777">
        <w:tc>
          <w:tcPr>
            <w:tcW w:w="6360" w:type="dxa"/>
            <w:shd w:val="clear" w:color="auto" w:fill="EEF4F2"/>
            <w:tcMar>
              <w:top w:w="60" w:type="dxa"/>
              <w:left w:w="110" w:type="dxa"/>
              <w:bottom w:w="60" w:type="dxa"/>
              <w:right w:w="110" w:type="dxa"/>
            </w:tcMar>
            <w:vAlign w:val="center"/>
          </w:tcPr>
          <w:p w14:paraId="2590FC57"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Transitional</w:t>
            </w:r>
          </w:p>
        </w:tc>
        <w:tc>
          <w:tcPr>
            <w:tcW w:w="3000" w:type="dxa"/>
            <w:shd w:val="clear" w:color="auto" w:fill="EEF4F2"/>
            <w:tcMar>
              <w:top w:w="60" w:type="dxa"/>
              <w:left w:w="110" w:type="dxa"/>
              <w:bottom w:w="60" w:type="dxa"/>
              <w:right w:w="110" w:type="dxa"/>
            </w:tcMar>
            <w:vAlign w:val="center"/>
          </w:tcPr>
          <w:p w14:paraId="462D6614"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−0.955</w:t>
            </w:r>
          </w:p>
        </w:tc>
      </w:tr>
      <w:tr w:rsidR="00BC1555" w14:paraId="22AE1FE7" w14:textId="77777777">
        <w:tc>
          <w:tcPr>
            <w:tcW w:w="6360" w:type="dxa"/>
            <w:tcMar>
              <w:top w:w="60" w:type="dxa"/>
              <w:left w:w="110" w:type="dxa"/>
              <w:bottom w:w="60" w:type="dxa"/>
              <w:right w:w="110" w:type="dxa"/>
            </w:tcMar>
            <w:vAlign w:val="center"/>
          </w:tcPr>
          <w:p w14:paraId="0274830E"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Excessive Weed Infestation Hotspot</w:t>
            </w:r>
          </w:p>
        </w:tc>
        <w:tc>
          <w:tcPr>
            <w:tcW w:w="3000" w:type="dxa"/>
            <w:tcMar>
              <w:top w:w="60" w:type="dxa"/>
              <w:left w:w="110" w:type="dxa"/>
              <w:bottom w:w="60" w:type="dxa"/>
              <w:right w:w="110" w:type="dxa"/>
            </w:tcMar>
            <w:vAlign w:val="center"/>
          </w:tcPr>
          <w:p w14:paraId="4AD44F7B"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−0.928</w:t>
            </w:r>
          </w:p>
        </w:tc>
      </w:tr>
      <w:tr w:rsidR="00BC1555" w14:paraId="69DD5902" w14:textId="77777777">
        <w:tc>
          <w:tcPr>
            <w:tcW w:w="6360" w:type="dxa"/>
            <w:shd w:val="clear" w:color="auto" w:fill="EEF4F2"/>
            <w:tcMar>
              <w:top w:w="60" w:type="dxa"/>
              <w:left w:w="110" w:type="dxa"/>
              <w:bottom w:w="60" w:type="dxa"/>
              <w:right w:w="110" w:type="dxa"/>
            </w:tcMar>
            <w:vAlign w:val="center"/>
          </w:tcPr>
          <w:p w14:paraId="0AD1453F"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Very High Variation Sudd Zone</w:t>
            </w:r>
          </w:p>
        </w:tc>
        <w:tc>
          <w:tcPr>
            <w:tcW w:w="3000" w:type="dxa"/>
            <w:shd w:val="clear" w:color="auto" w:fill="EEF4F2"/>
            <w:tcMar>
              <w:top w:w="60" w:type="dxa"/>
              <w:left w:w="110" w:type="dxa"/>
              <w:bottom w:w="60" w:type="dxa"/>
              <w:right w:w="110" w:type="dxa"/>
            </w:tcMar>
            <w:vAlign w:val="center"/>
          </w:tcPr>
          <w:p w14:paraId="195A2F5F"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−0.860</w:t>
            </w:r>
          </w:p>
        </w:tc>
      </w:tr>
      <w:tr w:rsidR="00BC1555" w14:paraId="5612788F" w14:textId="77777777">
        <w:tc>
          <w:tcPr>
            <w:tcW w:w="6360" w:type="dxa"/>
            <w:tcMar>
              <w:top w:w="60" w:type="dxa"/>
              <w:left w:w="110" w:type="dxa"/>
              <w:bottom w:w="60" w:type="dxa"/>
              <w:right w:w="110" w:type="dxa"/>
            </w:tcMar>
            <w:vAlign w:val="center"/>
          </w:tcPr>
          <w:p w14:paraId="027004A5"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High Seasonal Infestation Variation</w:t>
            </w:r>
          </w:p>
        </w:tc>
        <w:tc>
          <w:tcPr>
            <w:tcW w:w="3000" w:type="dxa"/>
            <w:tcMar>
              <w:top w:w="60" w:type="dxa"/>
              <w:left w:w="110" w:type="dxa"/>
              <w:bottom w:w="60" w:type="dxa"/>
              <w:right w:w="110" w:type="dxa"/>
            </w:tcMar>
            <w:vAlign w:val="center"/>
          </w:tcPr>
          <w:p w14:paraId="1E6EDE33"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−0.743</w:t>
            </w:r>
          </w:p>
        </w:tc>
      </w:tr>
      <w:tr w:rsidR="00BC1555" w14:paraId="4CCB13D9" w14:textId="77777777">
        <w:tc>
          <w:tcPr>
            <w:tcW w:w="6360" w:type="dxa"/>
            <w:shd w:val="clear" w:color="auto" w:fill="EEF4F2"/>
            <w:tcMar>
              <w:top w:w="60" w:type="dxa"/>
              <w:left w:w="110" w:type="dxa"/>
              <w:bottom w:w="60" w:type="dxa"/>
              <w:right w:w="110" w:type="dxa"/>
            </w:tcMar>
            <w:vAlign w:val="center"/>
          </w:tcPr>
          <w:p w14:paraId="5750D697"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Overall (all zones pooled)</w:t>
            </w:r>
          </w:p>
        </w:tc>
        <w:tc>
          <w:tcPr>
            <w:tcW w:w="3000" w:type="dxa"/>
            <w:shd w:val="clear" w:color="auto" w:fill="EEF4F2"/>
            <w:tcMar>
              <w:top w:w="60" w:type="dxa"/>
              <w:left w:w="110" w:type="dxa"/>
              <w:bottom w:w="60" w:type="dxa"/>
              <w:right w:w="110" w:type="dxa"/>
            </w:tcMar>
            <w:vAlign w:val="center"/>
          </w:tcPr>
          <w:p w14:paraId="53453A44"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−0.971</w:t>
            </w:r>
          </w:p>
        </w:tc>
      </w:tr>
    </w:tbl>
    <w:p w14:paraId="249E2A56" w14:textId="77777777" w:rsidR="00352C77" w:rsidRPr="00352C77" w:rsidRDefault="007B6AAF" w:rsidP="00A623D5">
      <w:pPr>
        <w:keepNext/>
        <w:spacing w:before="120" w:after="40" w:line="36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3E6C01D6" wp14:editId="508F577E">
            <wp:extent cx="5594350" cy="4462471"/>
            <wp:effectExtent l="0" t="0" r="6350" b="0"/>
            <wp:docPr id="850131097" name="Figure 15: NDVI vs NDWI scatter plot by zone type" descr="Figure 15: NDVI vs NDWI scatter plot by zone type" title="Figure 15: NDVI vs NDWI scatter plot by zone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6"/>
                    <a:srcRect/>
                    <a:stretch>
                      <a:fillRect/>
                    </a:stretch>
                  </pic:blipFill>
                  <pic:spPr bwMode="auto">
                    <a:xfrm>
                      <a:off x="0" y="0"/>
                      <a:ext cx="5618946" cy="4482090"/>
                    </a:xfrm>
                    <a:prstGeom prst="rect">
                      <a:avLst/>
                    </a:prstGeom>
                  </pic:spPr>
                </pic:pic>
              </a:graphicData>
            </a:graphic>
          </wp:inline>
        </w:drawing>
      </w:r>
    </w:p>
    <w:p w14:paraId="62CAFB55" w14:textId="4ED87AF4" w:rsidR="00DB0109" w:rsidRPr="00352C77" w:rsidRDefault="00352C77" w:rsidP="00A623D5">
      <w:pPr>
        <w:pStyle w:val="Caption"/>
        <w:jc w:val="center"/>
        <w:rPr>
          <w:rFonts w:ascii="Times New Roman" w:hAnsi="Times New Roman" w:cs="Times New Roman"/>
        </w:rPr>
      </w:pPr>
      <w:bookmarkStart w:id="139" w:name="_Toc237884377"/>
      <w:r>
        <w:rPr>
          <w:rFonts w:ascii="Times New Roman" w:hAnsi="Times New Roman" w:cs="Times New Roman"/>
        </w:rPr>
        <w:t xml:space="preserve">Figure </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402E51">
        <w:rPr>
          <w:rFonts w:ascii="Times New Roman" w:hAnsi="Times New Roman" w:cs="Times New Roman"/>
          <w:noProof/>
        </w:rPr>
        <w:t>16</w:t>
      </w:r>
      <w:r>
        <w:rPr>
          <w:rFonts w:ascii="Times New Roman" w:hAnsi="Times New Roman" w:cs="Times New Roman"/>
        </w:rPr>
        <w:fldChar w:fldCharType="end"/>
      </w:r>
      <w:r>
        <w:rPr>
          <w:rFonts w:ascii="Times New Roman" w:hAnsi="Times New Roman" w:cs="Times New Roman"/>
        </w:rPr>
        <w:t>: NDVI vs NDWI scatter plot by zone type</w:t>
      </w:r>
      <w:bookmarkEnd w:id="139"/>
    </w:p>
    <w:p w14:paraId="2018E0C5"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Figure 16 shows the overall NDVI–NDWI scatter, which forms a tight, strongly negative linear band running from the high-NDWI, low-NDVI open-water cluster (upper left) to the low-NDWI, high-NDVI dense-vegetation cluster (lower right). The clarity of this band visually expresses the r = −0.971 overall correlation.</w:t>
      </w:r>
    </w:p>
    <w:p w14:paraId="7573A6D3" w14:textId="77777777" w:rsidR="00614286"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Figure 17 presents the correlation matrix for NDVI, NDWI, year and month. The dominant feature is the very strong inverse association between NDVI and NDWI (r = −0.971), which confirms that the two indices carry largely complementary information and validates their combined use for weed mapping. By contrast, the linear associations between the indices and the temporal variables are weak (NDVI with year and month, r = −0.057 and −0.097 respectively; NDWI with year and month, r = 0.149 and 0.187), indicating that the pronounced temporal changes described earlier are not captured by a simple linear trend and are better understood as episodic, climate-driven shifts.</w:t>
      </w:r>
    </w:p>
    <w:p w14:paraId="70D3F4DF" w14:textId="77777777" w:rsidR="00352C77" w:rsidRPr="00352C77" w:rsidRDefault="007B6AAF" w:rsidP="00A623D5">
      <w:pPr>
        <w:keepNext/>
        <w:spacing w:before="120" w:after="40" w:line="36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261C5411" wp14:editId="27D1DB1B">
            <wp:extent cx="4832350" cy="4067401"/>
            <wp:effectExtent l="0" t="0" r="6350" b="9525"/>
            <wp:docPr id="1900000003" name="Figure 16: Correlation matrix of NDVI, NDWI, year and month" descr="Figure 16: Correlation matrix of NDVI, NDWI, year and month" title="Figure 16: Correlation matrix of NDVI, NDWI, year and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7"/>
                    <a:srcRect/>
                    <a:stretch>
                      <a:fillRect/>
                    </a:stretch>
                  </pic:blipFill>
                  <pic:spPr bwMode="auto">
                    <a:xfrm>
                      <a:off x="0" y="0"/>
                      <a:ext cx="4843344" cy="4076655"/>
                    </a:xfrm>
                    <a:prstGeom prst="rect">
                      <a:avLst/>
                    </a:prstGeom>
                  </pic:spPr>
                </pic:pic>
              </a:graphicData>
            </a:graphic>
          </wp:inline>
        </w:drawing>
      </w:r>
    </w:p>
    <w:p w14:paraId="0E65F18C" w14:textId="0B6FD652" w:rsidR="00614286" w:rsidRPr="00352C77" w:rsidRDefault="00352C77" w:rsidP="00A623D5">
      <w:pPr>
        <w:pStyle w:val="Caption"/>
        <w:jc w:val="center"/>
        <w:rPr>
          <w:rFonts w:ascii="Times New Roman" w:hAnsi="Times New Roman" w:cs="Times New Roman"/>
        </w:rPr>
      </w:pPr>
      <w:bookmarkStart w:id="140" w:name="_Toc237884378"/>
      <w:r>
        <w:rPr>
          <w:rFonts w:ascii="Times New Roman" w:hAnsi="Times New Roman" w:cs="Times New Roman"/>
        </w:rPr>
        <w:t xml:space="preserve">Figure </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402E51">
        <w:rPr>
          <w:rFonts w:ascii="Times New Roman" w:hAnsi="Times New Roman" w:cs="Times New Roman"/>
          <w:noProof/>
        </w:rPr>
        <w:t>17</w:t>
      </w:r>
      <w:r>
        <w:rPr>
          <w:rFonts w:ascii="Times New Roman" w:hAnsi="Times New Roman" w:cs="Times New Roman"/>
        </w:rPr>
        <w:fldChar w:fldCharType="end"/>
      </w:r>
      <w:r>
        <w:rPr>
          <w:rFonts w:ascii="Times New Roman" w:hAnsi="Times New Roman" w:cs="Times New Roman"/>
        </w:rPr>
        <w:t>: Correlation matrix of NDVI, NDWI, year and month</w:t>
      </w:r>
      <w:bookmarkEnd w:id="140"/>
    </w:p>
    <w:p w14:paraId="77F035F0" w14:textId="77777777" w:rsidR="00352C77" w:rsidRPr="00352C77" w:rsidRDefault="007B6AAF" w:rsidP="00A623D5">
      <w:pPr>
        <w:keepNext/>
        <w:spacing w:before="120" w:after="40" w:line="36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38CF66DD" wp14:editId="07A9EDC7">
            <wp:extent cx="6519333" cy="3911600"/>
            <wp:effectExtent l="0" t="0" r="0" b="0"/>
            <wp:docPr id="960996576" name="Figure 17: NDVI–NDWI correlation by zone type (panel plots)" descr="Figure 17: NDVI–NDWI correlation by zone type (panel plots)" title="Figure 17: NDVI–NDWI correlation by zone type (panel pl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8"/>
                    <a:srcRect/>
                    <a:stretch>
                      <a:fillRect/>
                    </a:stretch>
                  </pic:blipFill>
                  <pic:spPr bwMode="auto">
                    <a:xfrm>
                      <a:off x="0" y="0"/>
                      <a:ext cx="6532932" cy="3919759"/>
                    </a:xfrm>
                    <a:prstGeom prst="rect">
                      <a:avLst/>
                    </a:prstGeom>
                  </pic:spPr>
                </pic:pic>
              </a:graphicData>
            </a:graphic>
          </wp:inline>
        </w:drawing>
      </w:r>
    </w:p>
    <w:p w14:paraId="55522D39" w14:textId="123ADEA9" w:rsidR="00DB0109" w:rsidRPr="00352C77" w:rsidRDefault="00352C77" w:rsidP="00A623D5">
      <w:pPr>
        <w:pStyle w:val="Caption"/>
        <w:jc w:val="center"/>
        <w:rPr>
          <w:rFonts w:ascii="Times New Roman" w:hAnsi="Times New Roman" w:cs="Times New Roman"/>
        </w:rPr>
      </w:pPr>
      <w:bookmarkStart w:id="141" w:name="_Toc237884379"/>
      <w:r>
        <w:rPr>
          <w:rFonts w:ascii="Times New Roman" w:hAnsi="Times New Roman" w:cs="Times New Roman"/>
        </w:rPr>
        <w:t xml:space="preserve">Figure </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402E51">
        <w:rPr>
          <w:rFonts w:ascii="Times New Roman" w:hAnsi="Times New Roman" w:cs="Times New Roman"/>
          <w:noProof/>
        </w:rPr>
        <w:t>18</w:t>
      </w:r>
      <w:r>
        <w:rPr>
          <w:rFonts w:ascii="Times New Roman" w:hAnsi="Times New Roman" w:cs="Times New Roman"/>
        </w:rPr>
        <w:fldChar w:fldCharType="end"/>
      </w:r>
      <w:r>
        <w:rPr>
          <w:rFonts w:ascii="Times New Roman" w:hAnsi="Times New Roman" w:cs="Times New Roman"/>
        </w:rPr>
        <w:t>: NDVI–NDWI correlation by zone type (panel plots)</w:t>
      </w:r>
      <w:bookmarkEnd w:id="141"/>
    </w:p>
    <w:p w14:paraId="4C9DD96B"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The panel plots in Figure 18 separate the relationship by zone type. The Open Water, No Weed Infestation Control, Near Shore and Transitional panels show tight, near-linear clusters consistent with their strong correlation coefficients, whereas the High Seasonal Infestation Variation and Very High Variation Sudd panels are more dispersed, illustrating the weaker correlations and the mixed spectral character of these zones. The clustering demonstrates the potential of NDVI–NDWI scatter relationships as a classification tool for distinguishing lake zones by spectral behaviour.</w:t>
      </w:r>
    </w:p>
    <w:p w14:paraId="5EAAC56C" w14:textId="77777777" w:rsidR="003F30FB" w:rsidRPr="00352C77" w:rsidRDefault="007B6AAF" w:rsidP="00A623D5">
      <w:pPr>
        <w:pStyle w:val="Heading3"/>
        <w:spacing w:line="360" w:lineRule="auto"/>
        <w:rPr>
          <w:rFonts w:ascii="Times New Roman" w:hAnsi="Times New Roman" w:cs="Times New Roman"/>
        </w:rPr>
      </w:pPr>
      <w:bookmarkStart w:id="142" w:name="_Toc237884336"/>
      <w:r>
        <w:rPr>
          <w:rFonts w:ascii="Times New Roman" w:hAnsi="Times New Roman" w:cs="Times New Roman"/>
        </w:rPr>
        <w:t>4.8.1 Statistical Significance of the NDVI–NDWI Correlation (Hypothesis H5)</w:t>
      </w:r>
      <w:bookmarkEnd w:id="142"/>
    </w:p>
    <w:p w14:paraId="58649B1F" w14:textId="77777777" w:rsidR="003F30FB"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Every correlation reported above is statistically significant at p &lt; .001, so Hypothesis H5 is strongly supported. For the pooled dataset, NDVI and NDWI were very strongly and inversely correlated, r = −0.971, </w:t>
      </w:r>
      <w:proofErr w:type="gramStart"/>
      <w:r>
        <w:rPr>
          <w:rFonts w:ascii="Times New Roman" w:hAnsi="Times New Roman" w:cs="Times New Roman"/>
        </w:rPr>
        <w:t>t(</w:t>
      </w:r>
      <w:proofErr w:type="gramEnd"/>
      <w:r>
        <w:rPr>
          <w:rFonts w:ascii="Times New Roman" w:hAnsi="Times New Roman" w:cs="Times New Roman"/>
        </w:rPr>
        <w:t xml:space="preserve">30294) = −706.90, p &lt; .001, 95% CI [−0.972, −0.970], with r² = 0.94, meaning that the two indices share about 94 percent of their variance. The zone-level coefficients, their significance tests, shared variance and confidence intervals are summarised in Table 11. The coefficient of determination falls from 0.98 in the No Weed Infestation Control zone to 0.55 in the </w:t>
      </w:r>
      <w:r>
        <w:rPr>
          <w:rFonts w:ascii="Times New Roman" w:hAnsi="Times New Roman" w:cs="Times New Roman"/>
        </w:rPr>
        <w:lastRenderedPageBreak/>
        <w:t>High Seasonal Infestation Variation zone, quantifying precisely how far the spectral separation between water and vegetation weakens in the most temporally variable zone.</w:t>
      </w:r>
    </w:p>
    <w:p w14:paraId="269FDAC4" w14:textId="77777777" w:rsidR="00DB0109" w:rsidRPr="00414D2A" w:rsidRDefault="007B6AAF" w:rsidP="00A623D5">
      <w:pPr>
        <w:spacing w:after="160" w:line="360" w:lineRule="auto"/>
        <w:jc w:val="both"/>
        <w:rPr>
          <w:rFonts w:ascii="Times New Roman" w:hAnsi="Times New Roman" w:cs="Times New Roman"/>
        </w:rPr>
      </w:pPr>
      <w:r>
        <w:rPr>
          <w:rFonts w:ascii="Times New Roman" w:hAnsi="Times New Roman" w:cs="Times New Roman"/>
        </w:rPr>
        <w:t>In conclusion, the null hypothesis of no association between NDVI and NDWI is rejected at every level of analysis. Hypothesis H5 is accepted: the two indices are very strongly and inversely correlated across the lake as a whole (r = −0.971) and within every individual zone (−0.743 to −0.989). The practical consequence deserves emphasis. In spectrally simple zones the two indices are almost perfectly redundant, so either would serve alone; they diverge only in the mixed, seasonally variable zones, where shared variance falls to 55 percent. It is precisely in those zones — the ones of greatest management interest — that both indices are required, which is the strongest single justification for the combined approach adopted in this study.</w:t>
      </w:r>
    </w:p>
    <w:p w14:paraId="5D985742" w14:textId="77777777" w:rsidR="003F30FB" w:rsidRPr="00352C77" w:rsidRDefault="009658D1" w:rsidP="00A623D5">
      <w:pPr>
        <w:pStyle w:val="Caption"/>
        <w:keepNext/>
        <w:rPr>
          <w:rFonts w:ascii="Times New Roman" w:hAnsi="Times New Roman" w:cs="Times New Roman"/>
        </w:rPr>
      </w:pPr>
      <w:bookmarkStart w:id="143" w:name="_Toc237884359"/>
      <w:r>
        <w:rPr>
          <w:rFonts w:ascii="Times New Roman" w:hAnsi="Times New Roman" w:cs="Times New Roman"/>
        </w:rPr>
        <w:t xml:space="preserve">Table </w:t>
      </w:r>
      <w:r>
        <w:rPr>
          <w:rFonts w:ascii="Times New Roman" w:hAnsi="Times New Roman" w:cs="Times New Roman"/>
        </w:rPr>
        <w:fldChar w:fldCharType="begin"/>
      </w:r>
      <w:r>
        <w:rPr>
          <w:rFonts w:ascii="Times New Roman" w:hAnsi="Times New Roman" w:cs="Times New Roman"/>
        </w:rPr>
        <w:instrText xml:space="preserve"> SEQ Table \* ARABIC </w:instrText>
      </w:r>
      <w:r>
        <w:rPr>
          <w:rFonts w:ascii="Times New Roman" w:hAnsi="Times New Roman" w:cs="Times New Roman"/>
        </w:rPr>
        <w:fldChar w:fldCharType="separate"/>
      </w:r>
      <w:r>
        <w:rPr>
          <w:rFonts w:ascii="Times New Roman" w:hAnsi="Times New Roman" w:cs="Times New Roman"/>
          <w:noProof/>
        </w:rPr>
        <w:t>11</w:t>
      </w:r>
      <w:r>
        <w:rPr>
          <w:rFonts w:ascii="Times New Roman" w:hAnsi="Times New Roman" w:cs="Times New Roman"/>
        </w:rPr>
        <w:fldChar w:fldCharType="end"/>
      </w:r>
      <w:r>
        <w:rPr>
          <w:rFonts w:ascii="Times New Roman" w:hAnsi="Times New Roman" w:cs="Times New Roman"/>
        </w:rPr>
        <w:t>: Significance of the NDVI–NDWI Correlation by Zone Type</w:t>
      </w:r>
      <w:bookmarkEnd w:id="14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00"/>
        <w:gridCol w:w="700"/>
        <w:gridCol w:w="900"/>
        <w:gridCol w:w="1500"/>
        <w:gridCol w:w="900"/>
        <w:gridCol w:w="760"/>
        <w:gridCol w:w="2500"/>
      </w:tblGrid>
      <w:tr w:rsidR="00BC1555" w14:paraId="1B177448" w14:textId="77777777">
        <w:trPr>
          <w:tblHeader/>
        </w:trPr>
        <w:tc>
          <w:tcPr>
            <w:tcW w:w="2100" w:type="dxa"/>
            <w:shd w:val="clear" w:color="auto" w:fill="2E6B5E"/>
            <w:tcMar>
              <w:top w:w="60" w:type="dxa"/>
              <w:left w:w="80" w:type="dxa"/>
              <w:bottom w:w="60" w:type="dxa"/>
              <w:right w:w="80" w:type="dxa"/>
            </w:tcMar>
            <w:vAlign w:val="center"/>
          </w:tcPr>
          <w:p w14:paraId="385878D0"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b/>
                <w:color w:val="FFFFFF"/>
                <w:sz w:val="18"/>
              </w:rPr>
              <w:t>Zone type</w:t>
            </w:r>
          </w:p>
        </w:tc>
        <w:tc>
          <w:tcPr>
            <w:tcW w:w="700" w:type="dxa"/>
            <w:shd w:val="clear" w:color="auto" w:fill="2E6B5E"/>
            <w:tcMar>
              <w:top w:w="60" w:type="dxa"/>
              <w:left w:w="80" w:type="dxa"/>
              <w:bottom w:w="60" w:type="dxa"/>
              <w:right w:w="80" w:type="dxa"/>
            </w:tcMar>
            <w:vAlign w:val="center"/>
          </w:tcPr>
          <w:p w14:paraId="351F8460"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b/>
                <w:color w:val="FFFFFF"/>
                <w:sz w:val="18"/>
              </w:rPr>
              <w:t>n</w:t>
            </w:r>
          </w:p>
        </w:tc>
        <w:tc>
          <w:tcPr>
            <w:tcW w:w="900" w:type="dxa"/>
            <w:shd w:val="clear" w:color="auto" w:fill="2E6B5E"/>
            <w:tcMar>
              <w:top w:w="60" w:type="dxa"/>
              <w:left w:w="80" w:type="dxa"/>
              <w:bottom w:w="60" w:type="dxa"/>
              <w:right w:w="80" w:type="dxa"/>
            </w:tcMar>
            <w:vAlign w:val="center"/>
          </w:tcPr>
          <w:p w14:paraId="1526354A"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b/>
                <w:color w:val="FFFFFF"/>
                <w:sz w:val="18"/>
              </w:rPr>
              <w:t>r</w:t>
            </w:r>
          </w:p>
        </w:tc>
        <w:tc>
          <w:tcPr>
            <w:tcW w:w="1500" w:type="dxa"/>
            <w:shd w:val="clear" w:color="auto" w:fill="2E6B5E"/>
            <w:tcMar>
              <w:top w:w="60" w:type="dxa"/>
              <w:left w:w="80" w:type="dxa"/>
              <w:bottom w:w="60" w:type="dxa"/>
              <w:right w:w="80" w:type="dxa"/>
            </w:tcMar>
            <w:vAlign w:val="center"/>
          </w:tcPr>
          <w:p w14:paraId="75D70643"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b/>
                <w:color w:val="FFFFFF"/>
                <w:sz w:val="18"/>
              </w:rPr>
              <w:t>t (</w:t>
            </w:r>
            <w:proofErr w:type="spellStart"/>
            <w:r>
              <w:rPr>
                <w:rFonts w:ascii="Times New Roman" w:hAnsi="Times New Roman" w:cs="Times New Roman"/>
                <w:b/>
                <w:color w:val="FFFFFF"/>
                <w:sz w:val="18"/>
              </w:rPr>
              <w:t>df</w:t>
            </w:r>
            <w:proofErr w:type="spellEnd"/>
            <w:r>
              <w:rPr>
                <w:rFonts w:ascii="Times New Roman" w:hAnsi="Times New Roman" w:cs="Times New Roman"/>
                <w:b/>
                <w:color w:val="FFFFFF"/>
                <w:sz w:val="18"/>
              </w:rPr>
              <w:t>)</w:t>
            </w:r>
          </w:p>
        </w:tc>
        <w:tc>
          <w:tcPr>
            <w:tcW w:w="900" w:type="dxa"/>
            <w:shd w:val="clear" w:color="auto" w:fill="2E6B5E"/>
            <w:tcMar>
              <w:top w:w="60" w:type="dxa"/>
              <w:left w:w="80" w:type="dxa"/>
              <w:bottom w:w="60" w:type="dxa"/>
              <w:right w:w="80" w:type="dxa"/>
            </w:tcMar>
            <w:vAlign w:val="center"/>
          </w:tcPr>
          <w:p w14:paraId="551822E3"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b/>
                <w:color w:val="FFFFFF"/>
                <w:sz w:val="18"/>
              </w:rPr>
              <w:t>p</w:t>
            </w:r>
          </w:p>
        </w:tc>
        <w:tc>
          <w:tcPr>
            <w:tcW w:w="760" w:type="dxa"/>
            <w:shd w:val="clear" w:color="auto" w:fill="2E6B5E"/>
            <w:tcMar>
              <w:top w:w="60" w:type="dxa"/>
              <w:left w:w="80" w:type="dxa"/>
              <w:bottom w:w="60" w:type="dxa"/>
              <w:right w:w="80" w:type="dxa"/>
            </w:tcMar>
            <w:vAlign w:val="center"/>
          </w:tcPr>
          <w:p w14:paraId="19FF43B2"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b/>
                <w:color w:val="FFFFFF"/>
                <w:sz w:val="18"/>
              </w:rPr>
              <w:t>r²</w:t>
            </w:r>
          </w:p>
        </w:tc>
        <w:tc>
          <w:tcPr>
            <w:tcW w:w="2500" w:type="dxa"/>
            <w:shd w:val="clear" w:color="auto" w:fill="2E6B5E"/>
            <w:tcMar>
              <w:top w:w="60" w:type="dxa"/>
              <w:left w:w="80" w:type="dxa"/>
              <w:bottom w:w="60" w:type="dxa"/>
              <w:right w:w="80" w:type="dxa"/>
            </w:tcMar>
            <w:vAlign w:val="center"/>
          </w:tcPr>
          <w:p w14:paraId="70D4C659"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b/>
                <w:color w:val="FFFFFF"/>
                <w:sz w:val="18"/>
              </w:rPr>
              <w:t>95% CI</w:t>
            </w:r>
          </w:p>
        </w:tc>
      </w:tr>
      <w:tr w:rsidR="00BC1555" w14:paraId="12970686" w14:textId="77777777">
        <w:tc>
          <w:tcPr>
            <w:tcW w:w="2100" w:type="dxa"/>
            <w:tcMar>
              <w:top w:w="60" w:type="dxa"/>
              <w:left w:w="80" w:type="dxa"/>
              <w:bottom w:w="60" w:type="dxa"/>
              <w:right w:w="80" w:type="dxa"/>
            </w:tcMar>
            <w:vAlign w:val="center"/>
          </w:tcPr>
          <w:p w14:paraId="41BFE405"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No Weed Infestation Control</w:t>
            </w:r>
          </w:p>
        </w:tc>
        <w:tc>
          <w:tcPr>
            <w:tcW w:w="700" w:type="dxa"/>
            <w:tcMar>
              <w:top w:w="60" w:type="dxa"/>
              <w:left w:w="80" w:type="dxa"/>
              <w:bottom w:w="60" w:type="dxa"/>
              <w:right w:w="80" w:type="dxa"/>
            </w:tcMar>
            <w:vAlign w:val="center"/>
          </w:tcPr>
          <w:p w14:paraId="799B6855"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2,156</w:t>
            </w:r>
          </w:p>
        </w:tc>
        <w:tc>
          <w:tcPr>
            <w:tcW w:w="900" w:type="dxa"/>
            <w:tcMar>
              <w:top w:w="60" w:type="dxa"/>
              <w:left w:w="80" w:type="dxa"/>
              <w:bottom w:w="60" w:type="dxa"/>
              <w:right w:w="80" w:type="dxa"/>
            </w:tcMar>
            <w:vAlign w:val="center"/>
          </w:tcPr>
          <w:p w14:paraId="59FE80E2"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−0.989</w:t>
            </w:r>
          </w:p>
        </w:tc>
        <w:tc>
          <w:tcPr>
            <w:tcW w:w="1500" w:type="dxa"/>
            <w:tcMar>
              <w:top w:w="60" w:type="dxa"/>
              <w:left w:w="80" w:type="dxa"/>
              <w:bottom w:w="60" w:type="dxa"/>
              <w:right w:w="80" w:type="dxa"/>
            </w:tcMar>
            <w:vAlign w:val="center"/>
          </w:tcPr>
          <w:p w14:paraId="13A34F9F"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−310.32 (2154).</w:t>
            </w:r>
          </w:p>
        </w:tc>
        <w:tc>
          <w:tcPr>
            <w:tcW w:w="900" w:type="dxa"/>
            <w:tcMar>
              <w:top w:w="60" w:type="dxa"/>
              <w:left w:w="80" w:type="dxa"/>
              <w:bottom w:w="60" w:type="dxa"/>
              <w:right w:w="80" w:type="dxa"/>
            </w:tcMar>
            <w:vAlign w:val="center"/>
          </w:tcPr>
          <w:p w14:paraId="7B32415A"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&lt;.001</w:t>
            </w:r>
          </w:p>
        </w:tc>
        <w:tc>
          <w:tcPr>
            <w:tcW w:w="760" w:type="dxa"/>
            <w:tcMar>
              <w:top w:w="60" w:type="dxa"/>
              <w:left w:w="80" w:type="dxa"/>
              <w:bottom w:w="60" w:type="dxa"/>
              <w:right w:w="80" w:type="dxa"/>
            </w:tcMar>
            <w:vAlign w:val="center"/>
          </w:tcPr>
          <w:p w14:paraId="52021B8C"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0.978</w:t>
            </w:r>
          </w:p>
        </w:tc>
        <w:tc>
          <w:tcPr>
            <w:tcW w:w="2500" w:type="dxa"/>
            <w:tcMar>
              <w:top w:w="60" w:type="dxa"/>
              <w:left w:w="80" w:type="dxa"/>
              <w:bottom w:w="60" w:type="dxa"/>
              <w:right w:w="80" w:type="dxa"/>
            </w:tcMar>
            <w:vAlign w:val="center"/>
          </w:tcPr>
          <w:p w14:paraId="35E79B75"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[−0.990, −0.988]</w:t>
            </w:r>
          </w:p>
        </w:tc>
      </w:tr>
      <w:tr w:rsidR="00BC1555" w14:paraId="68BB0B06" w14:textId="77777777">
        <w:tc>
          <w:tcPr>
            <w:tcW w:w="2100" w:type="dxa"/>
            <w:shd w:val="clear" w:color="auto" w:fill="F2F6F5"/>
            <w:tcMar>
              <w:top w:w="60" w:type="dxa"/>
              <w:left w:w="80" w:type="dxa"/>
              <w:bottom w:w="60" w:type="dxa"/>
              <w:right w:w="80" w:type="dxa"/>
            </w:tcMar>
            <w:vAlign w:val="center"/>
          </w:tcPr>
          <w:p w14:paraId="6BDABB71"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Open Water</w:t>
            </w:r>
          </w:p>
        </w:tc>
        <w:tc>
          <w:tcPr>
            <w:tcW w:w="700" w:type="dxa"/>
            <w:shd w:val="clear" w:color="auto" w:fill="F2F6F5"/>
            <w:tcMar>
              <w:top w:w="60" w:type="dxa"/>
              <w:left w:w="80" w:type="dxa"/>
              <w:bottom w:w="60" w:type="dxa"/>
              <w:right w:w="80" w:type="dxa"/>
            </w:tcMar>
            <w:vAlign w:val="center"/>
          </w:tcPr>
          <w:p w14:paraId="4155CFCB"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5,530</w:t>
            </w:r>
          </w:p>
        </w:tc>
        <w:tc>
          <w:tcPr>
            <w:tcW w:w="900" w:type="dxa"/>
            <w:shd w:val="clear" w:color="auto" w:fill="F2F6F5"/>
            <w:tcMar>
              <w:top w:w="60" w:type="dxa"/>
              <w:left w:w="80" w:type="dxa"/>
              <w:bottom w:w="60" w:type="dxa"/>
              <w:right w:w="80" w:type="dxa"/>
            </w:tcMar>
            <w:vAlign w:val="center"/>
          </w:tcPr>
          <w:p w14:paraId="14116E66"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−0.985</w:t>
            </w:r>
          </w:p>
        </w:tc>
        <w:tc>
          <w:tcPr>
            <w:tcW w:w="1500" w:type="dxa"/>
            <w:shd w:val="clear" w:color="auto" w:fill="F2F6F5"/>
            <w:tcMar>
              <w:top w:w="60" w:type="dxa"/>
              <w:left w:w="80" w:type="dxa"/>
              <w:bottom w:w="60" w:type="dxa"/>
              <w:right w:w="80" w:type="dxa"/>
            </w:tcMar>
            <w:vAlign w:val="center"/>
          </w:tcPr>
          <w:p w14:paraId="7BC4F5C0"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−424.42 (5528).</w:t>
            </w:r>
          </w:p>
        </w:tc>
        <w:tc>
          <w:tcPr>
            <w:tcW w:w="900" w:type="dxa"/>
            <w:shd w:val="clear" w:color="auto" w:fill="F2F6F5"/>
            <w:tcMar>
              <w:top w:w="60" w:type="dxa"/>
              <w:left w:w="80" w:type="dxa"/>
              <w:bottom w:w="60" w:type="dxa"/>
              <w:right w:w="80" w:type="dxa"/>
            </w:tcMar>
            <w:vAlign w:val="center"/>
          </w:tcPr>
          <w:p w14:paraId="4E14B784"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&lt;.001</w:t>
            </w:r>
          </w:p>
        </w:tc>
        <w:tc>
          <w:tcPr>
            <w:tcW w:w="760" w:type="dxa"/>
            <w:shd w:val="clear" w:color="auto" w:fill="F2F6F5"/>
            <w:tcMar>
              <w:top w:w="60" w:type="dxa"/>
              <w:left w:w="80" w:type="dxa"/>
              <w:bottom w:w="60" w:type="dxa"/>
              <w:right w:w="80" w:type="dxa"/>
            </w:tcMar>
            <w:vAlign w:val="center"/>
          </w:tcPr>
          <w:p w14:paraId="0BD12B08"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0.970</w:t>
            </w:r>
          </w:p>
        </w:tc>
        <w:tc>
          <w:tcPr>
            <w:tcW w:w="2500" w:type="dxa"/>
            <w:shd w:val="clear" w:color="auto" w:fill="F2F6F5"/>
            <w:tcMar>
              <w:top w:w="60" w:type="dxa"/>
              <w:left w:w="80" w:type="dxa"/>
              <w:bottom w:w="60" w:type="dxa"/>
              <w:right w:w="80" w:type="dxa"/>
            </w:tcMar>
            <w:vAlign w:val="center"/>
          </w:tcPr>
          <w:p w14:paraId="726C90D8"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[−0.986, −0.984]</w:t>
            </w:r>
          </w:p>
        </w:tc>
      </w:tr>
      <w:tr w:rsidR="00BC1555" w14:paraId="04F3818A" w14:textId="77777777">
        <w:tc>
          <w:tcPr>
            <w:tcW w:w="2100" w:type="dxa"/>
            <w:tcMar>
              <w:top w:w="60" w:type="dxa"/>
              <w:left w:w="80" w:type="dxa"/>
              <w:bottom w:w="60" w:type="dxa"/>
              <w:right w:w="80" w:type="dxa"/>
            </w:tcMar>
            <w:vAlign w:val="center"/>
          </w:tcPr>
          <w:p w14:paraId="21B5EA2B"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Near Shore</w:t>
            </w:r>
          </w:p>
        </w:tc>
        <w:tc>
          <w:tcPr>
            <w:tcW w:w="700" w:type="dxa"/>
            <w:tcMar>
              <w:top w:w="60" w:type="dxa"/>
              <w:left w:w="80" w:type="dxa"/>
              <w:bottom w:w="60" w:type="dxa"/>
              <w:right w:w="80" w:type="dxa"/>
            </w:tcMar>
            <w:vAlign w:val="center"/>
          </w:tcPr>
          <w:p w14:paraId="5AE53568"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7,084</w:t>
            </w:r>
          </w:p>
        </w:tc>
        <w:tc>
          <w:tcPr>
            <w:tcW w:w="900" w:type="dxa"/>
            <w:tcMar>
              <w:top w:w="60" w:type="dxa"/>
              <w:left w:w="80" w:type="dxa"/>
              <w:bottom w:w="60" w:type="dxa"/>
              <w:right w:w="80" w:type="dxa"/>
            </w:tcMar>
            <w:vAlign w:val="center"/>
          </w:tcPr>
          <w:p w14:paraId="263EC30E"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−0.964</w:t>
            </w:r>
          </w:p>
        </w:tc>
        <w:tc>
          <w:tcPr>
            <w:tcW w:w="1500" w:type="dxa"/>
            <w:tcMar>
              <w:top w:w="60" w:type="dxa"/>
              <w:left w:w="80" w:type="dxa"/>
              <w:bottom w:w="60" w:type="dxa"/>
              <w:right w:w="80" w:type="dxa"/>
            </w:tcMar>
            <w:vAlign w:val="center"/>
          </w:tcPr>
          <w:p w14:paraId="50CDB59E"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−305.09 (7082).</w:t>
            </w:r>
          </w:p>
        </w:tc>
        <w:tc>
          <w:tcPr>
            <w:tcW w:w="900" w:type="dxa"/>
            <w:tcMar>
              <w:top w:w="60" w:type="dxa"/>
              <w:left w:w="80" w:type="dxa"/>
              <w:bottom w:w="60" w:type="dxa"/>
              <w:right w:w="80" w:type="dxa"/>
            </w:tcMar>
            <w:vAlign w:val="center"/>
          </w:tcPr>
          <w:p w14:paraId="7EBD5DD0"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&lt;.001</w:t>
            </w:r>
          </w:p>
        </w:tc>
        <w:tc>
          <w:tcPr>
            <w:tcW w:w="760" w:type="dxa"/>
            <w:tcMar>
              <w:top w:w="60" w:type="dxa"/>
              <w:left w:w="80" w:type="dxa"/>
              <w:bottom w:w="60" w:type="dxa"/>
              <w:right w:w="80" w:type="dxa"/>
            </w:tcMar>
            <w:vAlign w:val="center"/>
          </w:tcPr>
          <w:p w14:paraId="41C4F896"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0.929</w:t>
            </w:r>
          </w:p>
        </w:tc>
        <w:tc>
          <w:tcPr>
            <w:tcW w:w="2500" w:type="dxa"/>
            <w:tcMar>
              <w:top w:w="60" w:type="dxa"/>
              <w:left w:w="80" w:type="dxa"/>
              <w:bottom w:w="60" w:type="dxa"/>
              <w:right w:w="80" w:type="dxa"/>
            </w:tcMar>
            <w:vAlign w:val="center"/>
          </w:tcPr>
          <w:p w14:paraId="3C816E6E"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[−0.966, −0.962]</w:t>
            </w:r>
          </w:p>
        </w:tc>
      </w:tr>
      <w:tr w:rsidR="00BC1555" w14:paraId="51294E96" w14:textId="77777777">
        <w:tc>
          <w:tcPr>
            <w:tcW w:w="2100" w:type="dxa"/>
            <w:shd w:val="clear" w:color="auto" w:fill="F2F6F5"/>
            <w:tcMar>
              <w:top w:w="60" w:type="dxa"/>
              <w:left w:w="80" w:type="dxa"/>
              <w:bottom w:w="60" w:type="dxa"/>
              <w:right w:w="80" w:type="dxa"/>
            </w:tcMar>
            <w:vAlign w:val="center"/>
          </w:tcPr>
          <w:p w14:paraId="708BF18C"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Transitional</w:t>
            </w:r>
          </w:p>
        </w:tc>
        <w:tc>
          <w:tcPr>
            <w:tcW w:w="700" w:type="dxa"/>
            <w:shd w:val="clear" w:color="auto" w:fill="F2F6F5"/>
            <w:tcMar>
              <w:top w:w="60" w:type="dxa"/>
              <w:left w:w="80" w:type="dxa"/>
              <w:bottom w:w="60" w:type="dxa"/>
              <w:right w:w="80" w:type="dxa"/>
            </w:tcMar>
            <w:vAlign w:val="center"/>
          </w:tcPr>
          <w:p w14:paraId="43BE86F0"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6,349</w:t>
            </w:r>
          </w:p>
        </w:tc>
        <w:tc>
          <w:tcPr>
            <w:tcW w:w="900" w:type="dxa"/>
            <w:shd w:val="clear" w:color="auto" w:fill="F2F6F5"/>
            <w:tcMar>
              <w:top w:w="60" w:type="dxa"/>
              <w:left w:w="80" w:type="dxa"/>
              <w:bottom w:w="60" w:type="dxa"/>
              <w:right w:w="80" w:type="dxa"/>
            </w:tcMar>
            <w:vAlign w:val="center"/>
          </w:tcPr>
          <w:p w14:paraId="7F4B816C"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−0.955</w:t>
            </w:r>
          </w:p>
        </w:tc>
        <w:tc>
          <w:tcPr>
            <w:tcW w:w="1500" w:type="dxa"/>
            <w:shd w:val="clear" w:color="auto" w:fill="F2F6F5"/>
            <w:tcMar>
              <w:top w:w="60" w:type="dxa"/>
              <w:left w:w="80" w:type="dxa"/>
              <w:bottom w:w="60" w:type="dxa"/>
              <w:right w:w="80" w:type="dxa"/>
            </w:tcMar>
            <w:vAlign w:val="center"/>
          </w:tcPr>
          <w:p w14:paraId="0EB0FD14"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−256.51 (6347).</w:t>
            </w:r>
          </w:p>
        </w:tc>
        <w:tc>
          <w:tcPr>
            <w:tcW w:w="900" w:type="dxa"/>
            <w:shd w:val="clear" w:color="auto" w:fill="F2F6F5"/>
            <w:tcMar>
              <w:top w:w="60" w:type="dxa"/>
              <w:left w:w="80" w:type="dxa"/>
              <w:bottom w:w="60" w:type="dxa"/>
              <w:right w:w="80" w:type="dxa"/>
            </w:tcMar>
            <w:vAlign w:val="center"/>
          </w:tcPr>
          <w:p w14:paraId="36E9B106"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&lt;.001</w:t>
            </w:r>
          </w:p>
        </w:tc>
        <w:tc>
          <w:tcPr>
            <w:tcW w:w="760" w:type="dxa"/>
            <w:shd w:val="clear" w:color="auto" w:fill="F2F6F5"/>
            <w:tcMar>
              <w:top w:w="60" w:type="dxa"/>
              <w:left w:w="80" w:type="dxa"/>
              <w:bottom w:w="60" w:type="dxa"/>
              <w:right w:w="80" w:type="dxa"/>
            </w:tcMar>
            <w:vAlign w:val="center"/>
          </w:tcPr>
          <w:p w14:paraId="3E38F4F8"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0.912</w:t>
            </w:r>
          </w:p>
        </w:tc>
        <w:tc>
          <w:tcPr>
            <w:tcW w:w="2500" w:type="dxa"/>
            <w:shd w:val="clear" w:color="auto" w:fill="F2F6F5"/>
            <w:tcMar>
              <w:top w:w="60" w:type="dxa"/>
              <w:left w:w="80" w:type="dxa"/>
              <w:bottom w:w="60" w:type="dxa"/>
              <w:right w:w="80" w:type="dxa"/>
            </w:tcMar>
            <w:vAlign w:val="center"/>
          </w:tcPr>
          <w:p w14:paraId="2A1A9401"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[−0.957, −0.953]</w:t>
            </w:r>
          </w:p>
        </w:tc>
      </w:tr>
      <w:tr w:rsidR="00BC1555" w14:paraId="221771C6" w14:textId="77777777">
        <w:tc>
          <w:tcPr>
            <w:tcW w:w="2100" w:type="dxa"/>
            <w:tcMar>
              <w:top w:w="60" w:type="dxa"/>
              <w:left w:w="80" w:type="dxa"/>
              <w:bottom w:w="60" w:type="dxa"/>
              <w:right w:w="80" w:type="dxa"/>
            </w:tcMar>
            <w:vAlign w:val="center"/>
          </w:tcPr>
          <w:p w14:paraId="73E4D39B"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Excessive Weed Infestation Hotspot</w:t>
            </w:r>
          </w:p>
        </w:tc>
        <w:tc>
          <w:tcPr>
            <w:tcW w:w="700" w:type="dxa"/>
            <w:tcMar>
              <w:top w:w="60" w:type="dxa"/>
              <w:left w:w="80" w:type="dxa"/>
              <w:bottom w:w="60" w:type="dxa"/>
              <w:right w:w="80" w:type="dxa"/>
            </w:tcMar>
            <w:vAlign w:val="center"/>
          </w:tcPr>
          <w:p w14:paraId="2C96E555"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2,352</w:t>
            </w:r>
          </w:p>
        </w:tc>
        <w:tc>
          <w:tcPr>
            <w:tcW w:w="900" w:type="dxa"/>
            <w:tcMar>
              <w:top w:w="60" w:type="dxa"/>
              <w:left w:w="80" w:type="dxa"/>
              <w:bottom w:w="60" w:type="dxa"/>
              <w:right w:w="80" w:type="dxa"/>
            </w:tcMar>
            <w:vAlign w:val="center"/>
          </w:tcPr>
          <w:p w14:paraId="33E8C9D1"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−0.928</w:t>
            </w:r>
          </w:p>
        </w:tc>
        <w:tc>
          <w:tcPr>
            <w:tcW w:w="1500" w:type="dxa"/>
            <w:tcMar>
              <w:top w:w="60" w:type="dxa"/>
              <w:left w:w="80" w:type="dxa"/>
              <w:bottom w:w="60" w:type="dxa"/>
              <w:right w:w="80" w:type="dxa"/>
            </w:tcMar>
            <w:vAlign w:val="center"/>
          </w:tcPr>
          <w:p w14:paraId="04932BE6"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−120.74 (2350).</w:t>
            </w:r>
          </w:p>
        </w:tc>
        <w:tc>
          <w:tcPr>
            <w:tcW w:w="900" w:type="dxa"/>
            <w:tcMar>
              <w:top w:w="60" w:type="dxa"/>
              <w:left w:w="80" w:type="dxa"/>
              <w:bottom w:w="60" w:type="dxa"/>
              <w:right w:w="80" w:type="dxa"/>
            </w:tcMar>
            <w:vAlign w:val="center"/>
          </w:tcPr>
          <w:p w14:paraId="1D07C949"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&lt;.001</w:t>
            </w:r>
          </w:p>
        </w:tc>
        <w:tc>
          <w:tcPr>
            <w:tcW w:w="760" w:type="dxa"/>
            <w:tcMar>
              <w:top w:w="60" w:type="dxa"/>
              <w:left w:w="80" w:type="dxa"/>
              <w:bottom w:w="60" w:type="dxa"/>
              <w:right w:w="80" w:type="dxa"/>
            </w:tcMar>
            <w:vAlign w:val="center"/>
          </w:tcPr>
          <w:p w14:paraId="4EC1A7DF"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0.861</w:t>
            </w:r>
          </w:p>
        </w:tc>
        <w:tc>
          <w:tcPr>
            <w:tcW w:w="2500" w:type="dxa"/>
            <w:tcMar>
              <w:top w:w="60" w:type="dxa"/>
              <w:left w:w="80" w:type="dxa"/>
              <w:bottom w:w="60" w:type="dxa"/>
              <w:right w:w="80" w:type="dxa"/>
            </w:tcMar>
            <w:vAlign w:val="center"/>
          </w:tcPr>
          <w:p w14:paraId="7651F23F"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[−0.933, −0.922]</w:t>
            </w:r>
          </w:p>
        </w:tc>
      </w:tr>
      <w:tr w:rsidR="00BC1555" w14:paraId="27DC8785" w14:textId="77777777">
        <w:tc>
          <w:tcPr>
            <w:tcW w:w="2100" w:type="dxa"/>
            <w:shd w:val="clear" w:color="auto" w:fill="F2F6F5"/>
            <w:tcMar>
              <w:top w:w="60" w:type="dxa"/>
              <w:left w:w="80" w:type="dxa"/>
              <w:bottom w:w="60" w:type="dxa"/>
              <w:right w:w="80" w:type="dxa"/>
            </w:tcMar>
            <w:vAlign w:val="center"/>
          </w:tcPr>
          <w:p w14:paraId="38B10DB1"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Very High Variation Sudd Zone</w:t>
            </w:r>
          </w:p>
        </w:tc>
        <w:tc>
          <w:tcPr>
            <w:tcW w:w="700" w:type="dxa"/>
            <w:shd w:val="clear" w:color="auto" w:fill="F2F6F5"/>
            <w:tcMar>
              <w:top w:w="60" w:type="dxa"/>
              <w:left w:w="80" w:type="dxa"/>
              <w:bottom w:w="60" w:type="dxa"/>
              <w:right w:w="80" w:type="dxa"/>
            </w:tcMar>
            <w:vAlign w:val="center"/>
          </w:tcPr>
          <w:p w14:paraId="7B670116"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2,100</w:t>
            </w:r>
          </w:p>
        </w:tc>
        <w:tc>
          <w:tcPr>
            <w:tcW w:w="900" w:type="dxa"/>
            <w:shd w:val="clear" w:color="auto" w:fill="F2F6F5"/>
            <w:tcMar>
              <w:top w:w="60" w:type="dxa"/>
              <w:left w:w="80" w:type="dxa"/>
              <w:bottom w:w="60" w:type="dxa"/>
              <w:right w:w="80" w:type="dxa"/>
            </w:tcMar>
            <w:vAlign w:val="center"/>
          </w:tcPr>
          <w:p w14:paraId="39A19544"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−0.860</w:t>
            </w:r>
          </w:p>
        </w:tc>
        <w:tc>
          <w:tcPr>
            <w:tcW w:w="1500" w:type="dxa"/>
            <w:shd w:val="clear" w:color="auto" w:fill="F2F6F5"/>
            <w:tcMar>
              <w:top w:w="60" w:type="dxa"/>
              <w:left w:w="80" w:type="dxa"/>
              <w:bottom w:w="60" w:type="dxa"/>
              <w:right w:w="80" w:type="dxa"/>
            </w:tcMar>
            <w:vAlign w:val="center"/>
          </w:tcPr>
          <w:p w14:paraId="06E81751"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−77.19 (2098).</w:t>
            </w:r>
          </w:p>
        </w:tc>
        <w:tc>
          <w:tcPr>
            <w:tcW w:w="900" w:type="dxa"/>
            <w:shd w:val="clear" w:color="auto" w:fill="F2F6F5"/>
            <w:tcMar>
              <w:top w:w="60" w:type="dxa"/>
              <w:left w:w="80" w:type="dxa"/>
              <w:bottom w:w="60" w:type="dxa"/>
              <w:right w:w="80" w:type="dxa"/>
            </w:tcMar>
            <w:vAlign w:val="center"/>
          </w:tcPr>
          <w:p w14:paraId="10D32817"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&lt;.001</w:t>
            </w:r>
          </w:p>
        </w:tc>
        <w:tc>
          <w:tcPr>
            <w:tcW w:w="760" w:type="dxa"/>
            <w:shd w:val="clear" w:color="auto" w:fill="F2F6F5"/>
            <w:tcMar>
              <w:top w:w="60" w:type="dxa"/>
              <w:left w:w="80" w:type="dxa"/>
              <w:bottom w:w="60" w:type="dxa"/>
              <w:right w:w="80" w:type="dxa"/>
            </w:tcMar>
            <w:vAlign w:val="center"/>
          </w:tcPr>
          <w:p w14:paraId="0FB5AD89"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0.740</w:t>
            </w:r>
          </w:p>
        </w:tc>
        <w:tc>
          <w:tcPr>
            <w:tcW w:w="2500" w:type="dxa"/>
            <w:shd w:val="clear" w:color="auto" w:fill="F2F6F5"/>
            <w:tcMar>
              <w:top w:w="60" w:type="dxa"/>
              <w:left w:w="80" w:type="dxa"/>
              <w:bottom w:w="60" w:type="dxa"/>
              <w:right w:w="80" w:type="dxa"/>
            </w:tcMar>
            <w:vAlign w:val="center"/>
          </w:tcPr>
          <w:p w14:paraId="47CF1691"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[−0.871, −0.848]</w:t>
            </w:r>
          </w:p>
        </w:tc>
      </w:tr>
      <w:tr w:rsidR="00BC1555" w14:paraId="2746052C" w14:textId="77777777">
        <w:tc>
          <w:tcPr>
            <w:tcW w:w="2100" w:type="dxa"/>
            <w:tcMar>
              <w:top w:w="60" w:type="dxa"/>
              <w:left w:w="80" w:type="dxa"/>
              <w:bottom w:w="60" w:type="dxa"/>
              <w:right w:w="80" w:type="dxa"/>
            </w:tcMar>
            <w:vAlign w:val="center"/>
          </w:tcPr>
          <w:p w14:paraId="49E5C7F3"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High Seasonal Infestation Variation</w:t>
            </w:r>
          </w:p>
        </w:tc>
        <w:tc>
          <w:tcPr>
            <w:tcW w:w="700" w:type="dxa"/>
            <w:tcMar>
              <w:top w:w="60" w:type="dxa"/>
              <w:left w:w="80" w:type="dxa"/>
              <w:bottom w:w="60" w:type="dxa"/>
              <w:right w:w="80" w:type="dxa"/>
            </w:tcMar>
            <w:vAlign w:val="center"/>
          </w:tcPr>
          <w:p w14:paraId="0F348F1F"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4,725</w:t>
            </w:r>
          </w:p>
        </w:tc>
        <w:tc>
          <w:tcPr>
            <w:tcW w:w="900" w:type="dxa"/>
            <w:tcMar>
              <w:top w:w="60" w:type="dxa"/>
              <w:left w:w="80" w:type="dxa"/>
              <w:bottom w:w="60" w:type="dxa"/>
              <w:right w:w="80" w:type="dxa"/>
            </w:tcMar>
            <w:vAlign w:val="center"/>
          </w:tcPr>
          <w:p w14:paraId="6E634391"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−0.743</w:t>
            </w:r>
          </w:p>
        </w:tc>
        <w:tc>
          <w:tcPr>
            <w:tcW w:w="1500" w:type="dxa"/>
            <w:tcMar>
              <w:top w:w="60" w:type="dxa"/>
              <w:left w:w="80" w:type="dxa"/>
              <w:bottom w:w="60" w:type="dxa"/>
              <w:right w:w="80" w:type="dxa"/>
            </w:tcMar>
            <w:vAlign w:val="center"/>
          </w:tcPr>
          <w:p w14:paraId="7124116D"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−76.29 (4723).</w:t>
            </w:r>
          </w:p>
        </w:tc>
        <w:tc>
          <w:tcPr>
            <w:tcW w:w="900" w:type="dxa"/>
            <w:tcMar>
              <w:top w:w="60" w:type="dxa"/>
              <w:left w:w="80" w:type="dxa"/>
              <w:bottom w:w="60" w:type="dxa"/>
              <w:right w:w="80" w:type="dxa"/>
            </w:tcMar>
            <w:vAlign w:val="center"/>
          </w:tcPr>
          <w:p w14:paraId="0FBD7744"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&lt;.001</w:t>
            </w:r>
          </w:p>
        </w:tc>
        <w:tc>
          <w:tcPr>
            <w:tcW w:w="760" w:type="dxa"/>
            <w:tcMar>
              <w:top w:w="60" w:type="dxa"/>
              <w:left w:w="80" w:type="dxa"/>
              <w:bottom w:w="60" w:type="dxa"/>
              <w:right w:w="80" w:type="dxa"/>
            </w:tcMar>
            <w:vAlign w:val="center"/>
          </w:tcPr>
          <w:p w14:paraId="72951822"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0.552</w:t>
            </w:r>
          </w:p>
        </w:tc>
        <w:tc>
          <w:tcPr>
            <w:tcW w:w="2500" w:type="dxa"/>
            <w:tcMar>
              <w:top w:w="60" w:type="dxa"/>
              <w:left w:w="80" w:type="dxa"/>
              <w:bottom w:w="60" w:type="dxa"/>
              <w:right w:w="80" w:type="dxa"/>
            </w:tcMar>
            <w:vAlign w:val="center"/>
          </w:tcPr>
          <w:p w14:paraId="5CCBC58A"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[−0.756, −0.730]</w:t>
            </w:r>
          </w:p>
        </w:tc>
      </w:tr>
      <w:tr w:rsidR="00BC1555" w14:paraId="1451C57C" w14:textId="77777777">
        <w:tc>
          <w:tcPr>
            <w:tcW w:w="2100" w:type="dxa"/>
            <w:shd w:val="clear" w:color="auto" w:fill="F2F6F5"/>
            <w:tcMar>
              <w:top w:w="60" w:type="dxa"/>
              <w:left w:w="80" w:type="dxa"/>
              <w:bottom w:w="60" w:type="dxa"/>
              <w:right w:w="80" w:type="dxa"/>
            </w:tcMar>
            <w:vAlign w:val="center"/>
          </w:tcPr>
          <w:p w14:paraId="38575470"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Overall (all zones pooled)</w:t>
            </w:r>
          </w:p>
        </w:tc>
        <w:tc>
          <w:tcPr>
            <w:tcW w:w="700" w:type="dxa"/>
            <w:shd w:val="clear" w:color="auto" w:fill="F2F6F5"/>
            <w:tcMar>
              <w:top w:w="60" w:type="dxa"/>
              <w:left w:w="80" w:type="dxa"/>
              <w:bottom w:w="60" w:type="dxa"/>
              <w:right w:w="80" w:type="dxa"/>
            </w:tcMar>
            <w:vAlign w:val="center"/>
          </w:tcPr>
          <w:p w14:paraId="094F3092"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30,296</w:t>
            </w:r>
          </w:p>
        </w:tc>
        <w:tc>
          <w:tcPr>
            <w:tcW w:w="900" w:type="dxa"/>
            <w:shd w:val="clear" w:color="auto" w:fill="F2F6F5"/>
            <w:tcMar>
              <w:top w:w="60" w:type="dxa"/>
              <w:left w:w="80" w:type="dxa"/>
              <w:bottom w:w="60" w:type="dxa"/>
              <w:right w:w="80" w:type="dxa"/>
            </w:tcMar>
            <w:vAlign w:val="center"/>
          </w:tcPr>
          <w:p w14:paraId="3E070963"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−0.971</w:t>
            </w:r>
          </w:p>
        </w:tc>
        <w:tc>
          <w:tcPr>
            <w:tcW w:w="1500" w:type="dxa"/>
            <w:shd w:val="clear" w:color="auto" w:fill="F2F6F5"/>
            <w:tcMar>
              <w:top w:w="60" w:type="dxa"/>
              <w:left w:w="80" w:type="dxa"/>
              <w:bottom w:w="60" w:type="dxa"/>
              <w:right w:w="80" w:type="dxa"/>
            </w:tcMar>
            <w:vAlign w:val="center"/>
          </w:tcPr>
          <w:p w14:paraId="2EFFE538"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−706.90 (30294).</w:t>
            </w:r>
          </w:p>
        </w:tc>
        <w:tc>
          <w:tcPr>
            <w:tcW w:w="900" w:type="dxa"/>
            <w:shd w:val="clear" w:color="auto" w:fill="F2F6F5"/>
            <w:tcMar>
              <w:top w:w="60" w:type="dxa"/>
              <w:left w:w="80" w:type="dxa"/>
              <w:bottom w:w="60" w:type="dxa"/>
              <w:right w:w="80" w:type="dxa"/>
            </w:tcMar>
            <w:vAlign w:val="center"/>
          </w:tcPr>
          <w:p w14:paraId="2A096F69"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&lt;.001</w:t>
            </w:r>
          </w:p>
        </w:tc>
        <w:tc>
          <w:tcPr>
            <w:tcW w:w="760" w:type="dxa"/>
            <w:shd w:val="clear" w:color="auto" w:fill="F2F6F5"/>
            <w:tcMar>
              <w:top w:w="60" w:type="dxa"/>
              <w:left w:w="80" w:type="dxa"/>
              <w:bottom w:w="60" w:type="dxa"/>
              <w:right w:w="80" w:type="dxa"/>
            </w:tcMar>
            <w:vAlign w:val="center"/>
          </w:tcPr>
          <w:p w14:paraId="4703CF5C"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0.943</w:t>
            </w:r>
          </w:p>
        </w:tc>
        <w:tc>
          <w:tcPr>
            <w:tcW w:w="2500" w:type="dxa"/>
            <w:shd w:val="clear" w:color="auto" w:fill="F2F6F5"/>
            <w:tcMar>
              <w:top w:w="60" w:type="dxa"/>
              <w:left w:w="80" w:type="dxa"/>
              <w:bottom w:w="60" w:type="dxa"/>
              <w:right w:w="80" w:type="dxa"/>
            </w:tcMar>
            <w:vAlign w:val="center"/>
          </w:tcPr>
          <w:p w14:paraId="7836C972"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[−0.972, −0.970]</w:t>
            </w:r>
          </w:p>
        </w:tc>
      </w:tr>
    </w:tbl>
    <w:p w14:paraId="37068340" w14:textId="77777777" w:rsidR="003F30FB" w:rsidRPr="00352C77" w:rsidRDefault="003F30FB" w:rsidP="00A623D5">
      <w:pPr>
        <w:spacing w:after="120" w:line="360" w:lineRule="auto"/>
        <w:rPr>
          <w:rFonts w:ascii="Times New Roman" w:hAnsi="Times New Roman" w:cs="Times New Roman"/>
        </w:rPr>
      </w:pPr>
    </w:p>
    <w:p w14:paraId="0FE6101C" w14:textId="77777777" w:rsidR="003F30FB" w:rsidRPr="007E6326"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Taken together, the five hypothesis tests provide a formal statistical foundation for the descriptive patterns presented in this chapter. Each hypothesis has been tested and concluded within the section in which the corresponding results were presented: H1 in Section 4.3.1, H2 in Section 4.4.1, H3 in Section 4.5.1, H4 in Section 4.6.1 and H5 in Section 4.8.1. All five null hypotheses are rejected. Table 12 consolidates the outcomes for reference. The consistent feature across the </w:t>
      </w:r>
      <w:r>
        <w:rPr>
          <w:rFonts w:ascii="Times New Roman" w:hAnsi="Times New Roman" w:cs="Times New Roman"/>
        </w:rPr>
        <w:lastRenderedPageBreak/>
        <w:t>four group-difference tests is that highly significant differences are accompanied by small effect sizes, a direct consequence of the very large pixel sample; the practical importance of each result therefore rests on the magnitude and direction of the differences in the means, discussed in Section 4.11, rather than on statistical significance alone.</w:t>
      </w:r>
    </w:p>
    <w:p w14:paraId="0804BE31" w14:textId="77777777" w:rsidR="009658D1" w:rsidRPr="00352C77" w:rsidRDefault="009658D1" w:rsidP="00A623D5">
      <w:pPr>
        <w:pStyle w:val="Caption"/>
        <w:rPr>
          <w:rFonts w:ascii="Times New Roman" w:hAnsi="Times New Roman" w:cs="Times New Roman"/>
        </w:rPr>
      </w:pPr>
      <w:bookmarkStart w:id="144" w:name="_Toc237884360"/>
      <w:r>
        <w:rPr>
          <w:rFonts w:ascii="Times New Roman" w:hAnsi="Times New Roman" w:cs="Times New Roman"/>
        </w:rPr>
        <w:t xml:space="preserve">Table </w:t>
      </w:r>
      <w:r>
        <w:rPr>
          <w:rFonts w:ascii="Times New Roman" w:hAnsi="Times New Roman" w:cs="Times New Roman"/>
        </w:rPr>
        <w:fldChar w:fldCharType="begin"/>
      </w:r>
      <w:r>
        <w:rPr>
          <w:rFonts w:ascii="Times New Roman" w:hAnsi="Times New Roman" w:cs="Times New Roman"/>
        </w:rPr>
        <w:instrText xml:space="preserve"> SEQ Table \* ARABIC </w:instrText>
      </w:r>
      <w:r>
        <w:rPr>
          <w:rFonts w:ascii="Times New Roman" w:hAnsi="Times New Roman" w:cs="Times New Roman"/>
        </w:rPr>
        <w:fldChar w:fldCharType="separate"/>
      </w:r>
      <w:r>
        <w:rPr>
          <w:rFonts w:ascii="Times New Roman" w:hAnsi="Times New Roman" w:cs="Times New Roman"/>
          <w:noProof/>
        </w:rPr>
        <w:t>12</w:t>
      </w:r>
      <w:r>
        <w:rPr>
          <w:rFonts w:ascii="Times New Roman" w:hAnsi="Times New Roman" w:cs="Times New Roman"/>
        </w:rPr>
        <w:fldChar w:fldCharType="end"/>
      </w:r>
      <w:r>
        <w:rPr>
          <w:rFonts w:ascii="Times New Roman" w:hAnsi="Times New Roman" w:cs="Times New Roman"/>
        </w:rPr>
        <w:t>: Summary of Hypothesis Tests</w:t>
      </w:r>
      <w:bookmarkEnd w:id="144"/>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00"/>
        <w:gridCol w:w="2900"/>
        <w:gridCol w:w="2000"/>
        <w:gridCol w:w="1560"/>
      </w:tblGrid>
      <w:tr w:rsidR="00BC1555" w14:paraId="6AF79723" w14:textId="77777777">
        <w:trPr>
          <w:tblHeader/>
        </w:trPr>
        <w:tc>
          <w:tcPr>
            <w:tcW w:w="2900" w:type="dxa"/>
            <w:shd w:val="clear" w:color="auto" w:fill="2E6B5E"/>
            <w:tcMar>
              <w:top w:w="60" w:type="dxa"/>
              <w:left w:w="80" w:type="dxa"/>
              <w:bottom w:w="60" w:type="dxa"/>
              <w:right w:w="80" w:type="dxa"/>
            </w:tcMar>
            <w:vAlign w:val="center"/>
          </w:tcPr>
          <w:p w14:paraId="3901243C"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b/>
                <w:color w:val="FFFFFF"/>
                <w:sz w:val="18"/>
              </w:rPr>
              <w:t>Hypothesis</w:t>
            </w:r>
          </w:p>
        </w:tc>
        <w:tc>
          <w:tcPr>
            <w:tcW w:w="2900" w:type="dxa"/>
            <w:shd w:val="clear" w:color="auto" w:fill="2E6B5E"/>
            <w:tcMar>
              <w:top w:w="60" w:type="dxa"/>
              <w:left w:w="80" w:type="dxa"/>
              <w:bottom w:w="60" w:type="dxa"/>
              <w:right w:w="80" w:type="dxa"/>
            </w:tcMar>
            <w:vAlign w:val="center"/>
          </w:tcPr>
          <w:p w14:paraId="7BD7E1BE"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b/>
                <w:color w:val="FFFFFF"/>
                <w:sz w:val="18"/>
              </w:rPr>
              <w:t>Test statistic</w:t>
            </w:r>
          </w:p>
        </w:tc>
        <w:tc>
          <w:tcPr>
            <w:tcW w:w="2000" w:type="dxa"/>
            <w:shd w:val="clear" w:color="auto" w:fill="2E6B5E"/>
            <w:tcMar>
              <w:top w:w="60" w:type="dxa"/>
              <w:left w:w="80" w:type="dxa"/>
              <w:bottom w:w="60" w:type="dxa"/>
              <w:right w:w="80" w:type="dxa"/>
            </w:tcMar>
            <w:vAlign w:val="center"/>
          </w:tcPr>
          <w:p w14:paraId="23FC2EF6"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b/>
                <w:color w:val="FFFFFF"/>
                <w:sz w:val="18"/>
              </w:rPr>
              <w:t>Result</w:t>
            </w:r>
          </w:p>
        </w:tc>
        <w:tc>
          <w:tcPr>
            <w:tcW w:w="1560" w:type="dxa"/>
            <w:shd w:val="clear" w:color="auto" w:fill="2E6B5E"/>
            <w:tcMar>
              <w:top w:w="60" w:type="dxa"/>
              <w:left w:w="80" w:type="dxa"/>
              <w:bottom w:w="60" w:type="dxa"/>
              <w:right w:w="80" w:type="dxa"/>
            </w:tcMar>
            <w:vAlign w:val="center"/>
          </w:tcPr>
          <w:p w14:paraId="1CA24D70"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b/>
                <w:color w:val="FFFFFF"/>
                <w:sz w:val="18"/>
              </w:rPr>
              <w:t>Decision</w:t>
            </w:r>
          </w:p>
        </w:tc>
      </w:tr>
      <w:tr w:rsidR="00BC1555" w14:paraId="1560E412" w14:textId="77777777">
        <w:tc>
          <w:tcPr>
            <w:tcW w:w="2900" w:type="dxa"/>
            <w:tcMar>
              <w:top w:w="60" w:type="dxa"/>
              <w:left w:w="80" w:type="dxa"/>
              <w:bottom w:w="60" w:type="dxa"/>
              <w:right w:w="80" w:type="dxa"/>
            </w:tcMar>
            <w:vAlign w:val="center"/>
          </w:tcPr>
          <w:p w14:paraId="1AE80AD9"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H1: NDVI differs among zone types</w:t>
            </w:r>
          </w:p>
        </w:tc>
        <w:tc>
          <w:tcPr>
            <w:tcW w:w="2900" w:type="dxa"/>
            <w:tcMar>
              <w:top w:w="60" w:type="dxa"/>
              <w:left w:w="80" w:type="dxa"/>
              <w:bottom w:w="60" w:type="dxa"/>
              <w:right w:w="80" w:type="dxa"/>
            </w:tcMar>
            <w:vAlign w:val="center"/>
          </w:tcPr>
          <w:p w14:paraId="52F4EFA9"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 xml:space="preserve">Welch </w:t>
            </w:r>
            <w:proofErr w:type="gramStart"/>
            <w:r>
              <w:rPr>
                <w:rFonts w:ascii="Times New Roman" w:hAnsi="Times New Roman" w:cs="Times New Roman"/>
                <w:sz w:val="18"/>
              </w:rPr>
              <w:t>F(</w:t>
            </w:r>
            <w:proofErr w:type="gramEnd"/>
            <w:r>
              <w:rPr>
                <w:rFonts w:ascii="Times New Roman" w:hAnsi="Times New Roman" w:cs="Times New Roman"/>
                <w:sz w:val="18"/>
              </w:rPr>
              <w:t>6, 9859) = 328.29</w:t>
            </w:r>
          </w:p>
        </w:tc>
        <w:tc>
          <w:tcPr>
            <w:tcW w:w="2000" w:type="dxa"/>
            <w:tcMar>
              <w:top w:w="60" w:type="dxa"/>
              <w:left w:w="80" w:type="dxa"/>
              <w:bottom w:w="60" w:type="dxa"/>
              <w:right w:w="80" w:type="dxa"/>
            </w:tcMar>
            <w:vAlign w:val="center"/>
          </w:tcPr>
          <w:p w14:paraId="199B1584"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p &lt; .001, η² = .05</w:t>
            </w:r>
          </w:p>
        </w:tc>
        <w:tc>
          <w:tcPr>
            <w:tcW w:w="1560" w:type="dxa"/>
            <w:tcMar>
              <w:top w:w="60" w:type="dxa"/>
              <w:left w:w="80" w:type="dxa"/>
              <w:bottom w:w="60" w:type="dxa"/>
              <w:right w:w="80" w:type="dxa"/>
            </w:tcMar>
            <w:vAlign w:val="center"/>
          </w:tcPr>
          <w:p w14:paraId="6D952ABD"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Reject H0</w:t>
            </w:r>
          </w:p>
        </w:tc>
      </w:tr>
      <w:tr w:rsidR="00BC1555" w14:paraId="26D455C1" w14:textId="77777777">
        <w:tc>
          <w:tcPr>
            <w:tcW w:w="2900" w:type="dxa"/>
            <w:shd w:val="clear" w:color="auto" w:fill="F2F6F5"/>
            <w:tcMar>
              <w:top w:w="60" w:type="dxa"/>
              <w:left w:w="80" w:type="dxa"/>
              <w:bottom w:w="60" w:type="dxa"/>
              <w:right w:w="80" w:type="dxa"/>
            </w:tcMar>
            <w:vAlign w:val="center"/>
          </w:tcPr>
          <w:p w14:paraId="1880166F"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H2: NDVI differs among regions</w:t>
            </w:r>
          </w:p>
        </w:tc>
        <w:tc>
          <w:tcPr>
            <w:tcW w:w="2900" w:type="dxa"/>
            <w:shd w:val="clear" w:color="auto" w:fill="F2F6F5"/>
            <w:tcMar>
              <w:top w:w="60" w:type="dxa"/>
              <w:left w:w="80" w:type="dxa"/>
              <w:bottom w:w="60" w:type="dxa"/>
              <w:right w:w="80" w:type="dxa"/>
            </w:tcMar>
            <w:vAlign w:val="center"/>
          </w:tcPr>
          <w:p w14:paraId="04E9705A"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 xml:space="preserve">Welch </w:t>
            </w:r>
            <w:proofErr w:type="gramStart"/>
            <w:r>
              <w:rPr>
                <w:rFonts w:ascii="Times New Roman" w:hAnsi="Times New Roman" w:cs="Times New Roman"/>
                <w:sz w:val="18"/>
              </w:rPr>
              <w:t>F(</w:t>
            </w:r>
            <w:proofErr w:type="gramEnd"/>
            <w:r>
              <w:rPr>
                <w:rFonts w:ascii="Times New Roman" w:hAnsi="Times New Roman" w:cs="Times New Roman"/>
                <w:sz w:val="18"/>
              </w:rPr>
              <w:t>4, 10526) = 167.63</w:t>
            </w:r>
          </w:p>
        </w:tc>
        <w:tc>
          <w:tcPr>
            <w:tcW w:w="2000" w:type="dxa"/>
            <w:shd w:val="clear" w:color="auto" w:fill="F2F6F5"/>
            <w:tcMar>
              <w:top w:w="60" w:type="dxa"/>
              <w:left w:w="80" w:type="dxa"/>
              <w:bottom w:w="60" w:type="dxa"/>
              <w:right w:w="80" w:type="dxa"/>
            </w:tcMar>
            <w:vAlign w:val="center"/>
          </w:tcPr>
          <w:p w14:paraId="0A87DFE0"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p &lt; .001, η² = .04</w:t>
            </w:r>
          </w:p>
        </w:tc>
        <w:tc>
          <w:tcPr>
            <w:tcW w:w="1560" w:type="dxa"/>
            <w:shd w:val="clear" w:color="auto" w:fill="F2F6F5"/>
            <w:tcMar>
              <w:top w:w="60" w:type="dxa"/>
              <w:left w:w="80" w:type="dxa"/>
              <w:bottom w:w="60" w:type="dxa"/>
              <w:right w:w="80" w:type="dxa"/>
            </w:tcMar>
            <w:vAlign w:val="center"/>
          </w:tcPr>
          <w:p w14:paraId="19A44A2D"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Reject H0</w:t>
            </w:r>
          </w:p>
        </w:tc>
      </w:tr>
      <w:tr w:rsidR="00BC1555" w14:paraId="564D593C" w14:textId="77777777">
        <w:tc>
          <w:tcPr>
            <w:tcW w:w="2900" w:type="dxa"/>
            <w:tcMar>
              <w:top w:w="60" w:type="dxa"/>
              <w:left w:w="80" w:type="dxa"/>
              <w:bottom w:w="60" w:type="dxa"/>
              <w:right w:w="80" w:type="dxa"/>
            </w:tcMar>
            <w:vAlign w:val="center"/>
          </w:tcPr>
          <w:p w14:paraId="7909BBA5"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H3: NDVI differs among years</w:t>
            </w:r>
          </w:p>
        </w:tc>
        <w:tc>
          <w:tcPr>
            <w:tcW w:w="2900" w:type="dxa"/>
            <w:tcMar>
              <w:top w:w="60" w:type="dxa"/>
              <w:left w:w="80" w:type="dxa"/>
              <w:bottom w:w="60" w:type="dxa"/>
              <w:right w:w="80" w:type="dxa"/>
            </w:tcMar>
            <w:vAlign w:val="center"/>
          </w:tcPr>
          <w:p w14:paraId="0570A926"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 xml:space="preserve">One-way ANOVA </w:t>
            </w:r>
            <w:proofErr w:type="gramStart"/>
            <w:r>
              <w:rPr>
                <w:rFonts w:ascii="Times New Roman" w:hAnsi="Times New Roman" w:cs="Times New Roman"/>
                <w:sz w:val="18"/>
              </w:rPr>
              <w:t>F(</w:t>
            </w:r>
            <w:proofErr w:type="gramEnd"/>
            <w:r>
              <w:rPr>
                <w:rFonts w:ascii="Times New Roman" w:hAnsi="Times New Roman" w:cs="Times New Roman"/>
                <w:sz w:val="18"/>
              </w:rPr>
              <w:t>2, 30293) = 273.0</w:t>
            </w:r>
          </w:p>
        </w:tc>
        <w:tc>
          <w:tcPr>
            <w:tcW w:w="2000" w:type="dxa"/>
            <w:tcMar>
              <w:top w:w="60" w:type="dxa"/>
              <w:left w:w="80" w:type="dxa"/>
              <w:bottom w:w="60" w:type="dxa"/>
              <w:right w:w="80" w:type="dxa"/>
            </w:tcMar>
            <w:vAlign w:val="center"/>
          </w:tcPr>
          <w:p w14:paraId="4E15C230"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p &lt; .001, η² = .018</w:t>
            </w:r>
          </w:p>
        </w:tc>
        <w:tc>
          <w:tcPr>
            <w:tcW w:w="1560" w:type="dxa"/>
            <w:tcMar>
              <w:top w:w="60" w:type="dxa"/>
              <w:left w:w="80" w:type="dxa"/>
              <w:bottom w:w="60" w:type="dxa"/>
              <w:right w:w="80" w:type="dxa"/>
            </w:tcMar>
            <w:vAlign w:val="center"/>
          </w:tcPr>
          <w:p w14:paraId="33C78BCC"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Reject H0</w:t>
            </w:r>
          </w:p>
        </w:tc>
      </w:tr>
      <w:tr w:rsidR="00BC1555" w14:paraId="76BB805F" w14:textId="77777777">
        <w:tc>
          <w:tcPr>
            <w:tcW w:w="2900" w:type="dxa"/>
            <w:shd w:val="clear" w:color="auto" w:fill="F2F6F5"/>
            <w:tcMar>
              <w:top w:w="60" w:type="dxa"/>
              <w:left w:w="80" w:type="dxa"/>
              <w:bottom w:w="60" w:type="dxa"/>
              <w:right w:w="80" w:type="dxa"/>
            </w:tcMar>
            <w:vAlign w:val="center"/>
          </w:tcPr>
          <w:p w14:paraId="17C8991C"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H4: NDVI differs among months</w:t>
            </w:r>
          </w:p>
        </w:tc>
        <w:tc>
          <w:tcPr>
            <w:tcW w:w="2900" w:type="dxa"/>
            <w:shd w:val="clear" w:color="auto" w:fill="F2F6F5"/>
            <w:tcMar>
              <w:top w:w="60" w:type="dxa"/>
              <w:left w:w="80" w:type="dxa"/>
              <w:bottom w:w="60" w:type="dxa"/>
              <w:right w:w="80" w:type="dxa"/>
            </w:tcMar>
            <w:vAlign w:val="center"/>
          </w:tcPr>
          <w:p w14:paraId="05A68FA2"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 xml:space="preserve">One-way ANOVA </w:t>
            </w:r>
            <w:proofErr w:type="gramStart"/>
            <w:r>
              <w:rPr>
                <w:rFonts w:ascii="Times New Roman" w:hAnsi="Times New Roman" w:cs="Times New Roman"/>
                <w:sz w:val="18"/>
              </w:rPr>
              <w:t>F(</w:t>
            </w:r>
            <w:proofErr w:type="gramEnd"/>
            <w:r>
              <w:rPr>
                <w:rFonts w:ascii="Times New Roman" w:hAnsi="Times New Roman" w:cs="Times New Roman"/>
                <w:sz w:val="18"/>
              </w:rPr>
              <w:t>4, 30291) = 692.2</w:t>
            </w:r>
          </w:p>
        </w:tc>
        <w:tc>
          <w:tcPr>
            <w:tcW w:w="2000" w:type="dxa"/>
            <w:shd w:val="clear" w:color="auto" w:fill="F2F6F5"/>
            <w:tcMar>
              <w:top w:w="60" w:type="dxa"/>
              <w:left w:w="80" w:type="dxa"/>
              <w:bottom w:w="60" w:type="dxa"/>
              <w:right w:w="80" w:type="dxa"/>
            </w:tcMar>
            <w:vAlign w:val="center"/>
          </w:tcPr>
          <w:p w14:paraId="61E0DFC3"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p &lt; .001, η² = .084</w:t>
            </w:r>
          </w:p>
        </w:tc>
        <w:tc>
          <w:tcPr>
            <w:tcW w:w="1560" w:type="dxa"/>
            <w:shd w:val="clear" w:color="auto" w:fill="F2F6F5"/>
            <w:tcMar>
              <w:top w:w="60" w:type="dxa"/>
              <w:left w:w="80" w:type="dxa"/>
              <w:bottom w:w="60" w:type="dxa"/>
              <w:right w:w="80" w:type="dxa"/>
            </w:tcMar>
            <w:vAlign w:val="center"/>
          </w:tcPr>
          <w:p w14:paraId="0AF53899"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Reject H0</w:t>
            </w:r>
          </w:p>
        </w:tc>
      </w:tr>
      <w:tr w:rsidR="00BC1555" w14:paraId="257E8C4C" w14:textId="77777777">
        <w:tc>
          <w:tcPr>
            <w:tcW w:w="2900" w:type="dxa"/>
            <w:tcMar>
              <w:top w:w="60" w:type="dxa"/>
              <w:left w:w="80" w:type="dxa"/>
              <w:bottom w:w="60" w:type="dxa"/>
              <w:right w:w="80" w:type="dxa"/>
            </w:tcMar>
            <w:vAlign w:val="center"/>
          </w:tcPr>
          <w:p w14:paraId="3042C98B"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H5: NDVI correlates with NDWI</w:t>
            </w:r>
          </w:p>
        </w:tc>
        <w:tc>
          <w:tcPr>
            <w:tcW w:w="2900" w:type="dxa"/>
            <w:tcMar>
              <w:top w:w="60" w:type="dxa"/>
              <w:left w:w="80" w:type="dxa"/>
              <w:bottom w:w="60" w:type="dxa"/>
              <w:right w:w="80" w:type="dxa"/>
            </w:tcMar>
            <w:vAlign w:val="center"/>
          </w:tcPr>
          <w:p w14:paraId="0D3A9691"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 xml:space="preserve">r = −0.971, </w:t>
            </w:r>
            <w:proofErr w:type="gramStart"/>
            <w:r>
              <w:rPr>
                <w:rFonts w:ascii="Times New Roman" w:hAnsi="Times New Roman" w:cs="Times New Roman"/>
                <w:sz w:val="18"/>
              </w:rPr>
              <w:t>t(</w:t>
            </w:r>
            <w:proofErr w:type="gramEnd"/>
            <w:r>
              <w:rPr>
                <w:rFonts w:ascii="Times New Roman" w:hAnsi="Times New Roman" w:cs="Times New Roman"/>
                <w:sz w:val="18"/>
              </w:rPr>
              <w:t>30294) = −706.90</w:t>
            </w:r>
          </w:p>
        </w:tc>
        <w:tc>
          <w:tcPr>
            <w:tcW w:w="2000" w:type="dxa"/>
            <w:tcMar>
              <w:top w:w="60" w:type="dxa"/>
              <w:left w:w="80" w:type="dxa"/>
              <w:bottom w:w="60" w:type="dxa"/>
              <w:right w:w="80" w:type="dxa"/>
            </w:tcMar>
            <w:vAlign w:val="center"/>
          </w:tcPr>
          <w:p w14:paraId="1BAEED94"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p &lt; .001, r² = .94</w:t>
            </w:r>
          </w:p>
        </w:tc>
        <w:tc>
          <w:tcPr>
            <w:tcW w:w="1560" w:type="dxa"/>
            <w:tcMar>
              <w:top w:w="60" w:type="dxa"/>
              <w:left w:w="80" w:type="dxa"/>
              <w:bottom w:w="60" w:type="dxa"/>
              <w:right w:w="80" w:type="dxa"/>
            </w:tcMar>
            <w:vAlign w:val="center"/>
          </w:tcPr>
          <w:p w14:paraId="20DD0363" w14:textId="77777777" w:rsidR="003F30FB" w:rsidRPr="00352C77" w:rsidRDefault="007B6AAF" w:rsidP="00A623D5">
            <w:pPr>
              <w:spacing w:line="360" w:lineRule="auto"/>
              <w:rPr>
                <w:rFonts w:ascii="Times New Roman" w:hAnsi="Times New Roman" w:cs="Times New Roman"/>
              </w:rPr>
            </w:pPr>
            <w:r>
              <w:rPr>
                <w:rFonts w:ascii="Times New Roman" w:hAnsi="Times New Roman" w:cs="Times New Roman"/>
                <w:sz w:val="18"/>
              </w:rPr>
              <w:t>Reject H0</w:t>
            </w:r>
          </w:p>
        </w:tc>
      </w:tr>
    </w:tbl>
    <w:p w14:paraId="3FE54437" w14:textId="77777777" w:rsidR="003F30FB" w:rsidRPr="00352C77" w:rsidRDefault="003F30FB" w:rsidP="00A623D5">
      <w:pPr>
        <w:spacing w:after="120" w:line="360" w:lineRule="auto"/>
        <w:rPr>
          <w:rFonts w:ascii="Times New Roman" w:hAnsi="Times New Roman" w:cs="Times New Roman"/>
        </w:rPr>
      </w:pPr>
    </w:p>
    <w:p w14:paraId="5976C78C" w14:textId="77777777" w:rsidR="00DB0109" w:rsidRPr="00352C77" w:rsidRDefault="007B6AAF" w:rsidP="00A623D5">
      <w:pPr>
        <w:pStyle w:val="Heading2"/>
        <w:spacing w:line="360" w:lineRule="auto"/>
        <w:rPr>
          <w:rFonts w:ascii="Times New Roman" w:hAnsi="Times New Roman" w:cs="Times New Roman"/>
        </w:rPr>
      </w:pPr>
      <w:bookmarkStart w:id="145" w:name="_Toc237884337"/>
      <w:r>
        <w:rPr>
          <w:rFonts w:ascii="Times New Roman" w:hAnsi="Times New Roman" w:cs="Times New Roman"/>
        </w:rPr>
        <w:t>4.9 Station-Level Analysis</w:t>
      </w:r>
      <w:bookmarkEnd w:id="145"/>
    </w:p>
    <w:p w14:paraId="3CD23055"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Analysis of the 16 ground stations revealed significant variation in mean NDVI and NDWI, reflecting fine-scale spatial heterogeneity. Station S-03 (Southern) recorded the highest mean NDVI (0.051), followed by S-01 (Southern, 0.025) and E-03 (Eastern, −0.003), all in the regions previously identified as vegetation hotspots. At the other extreme, station E-01 (Eastern) recorded the lowest mean NDVI (−0.133), followed by HV-01 (Dynamic Targeting, −0.118) and W-01 (Western, −0.118).</w:t>
      </w:r>
    </w:p>
    <w:p w14:paraId="66950AFD" w14:textId="77777777" w:rsidR="009658D1" w:rsidRPr="00352C77" w:rsidRDefault="009658D1" w:rsidP="00A623D5">
      <w:pPr>
        <w:pStyle w:val="Caption"/>
        <w:rPr>
          <w:rFonts w:ascii="Times New Roman" w:hAnsi="Times New Roman" w:cs="Times New Roman"/>
        </w:rPr>
      </w:pPr>
      <w:bookmarkStart w:id="146" w:name="_Toc237884361"/>
      <w:r>
        <w:rPr>
          <w:rFonts w:ascii="Times New Roman" w:hAnsi="Times New Roman" w:cs="Times New Roman"/>
        </w:rPr>
        <w:t xml:space="preserve">Table </w:t>
      </w:r>
      <w:r>
        <w:rPr>
          <w:rFonts w:ascii="Times New Roman" w:hAnsi="Times New Roman" w:cs="Times New Roman"/>
        </w:rPr>
        <w:fldChar w:fldCharType="begin"/>
      </w:r>
      <w:r>
        <w:rPr>
          <w:rFonts w:ascii="Times New Roman" w:hAnsi="Times New Roman" w:cs="Times New Roman"/>
        </w:rPr>
        <w:instrText xml:space="preserve"> SEQ Table \* ARABIC </w:instrText>
      </w:r>
      <w:r>
        <w:rPr>
          <w:rFonts w:ascii="Times New Roman" w:hAnsi="Times New Roman" w:cs="Times New Roman"/>
        </w:rPr>
        <w:fldChar w:fldCharType="separate"/>
      </w:r>
      <w:r>
        <w:rPr>
          <w:rFonts w:ascii="Times New Roman" w:hAnsi="Times New Roman" w:cs="Times New Roman"/>
          <w:noProof/>
        </w:rPr>
        <w:t>13</w:t>
      </w:r>
      <w:r>
        <w:rPr>
          <w:rFonts w:ascii="Times New Roman" w:hAnsi="Times New Roman" w:cs="Times New Roman"/>
        </w:rPr>
        <w:fldChar w:fldCharType="end"/>
      </w:r>
      <w:r>
        <w:rPr>
          <w:rFonts w:ascii="Times New Roman" w:hAnsi="Times New Roman" w:cs="Times New Roman"/>
        </w:rPr>
        <w:t>: Station-Level Mean NDVI and NDWI (Ranked by NDVI)</w:t>
      </w:r>
      <w:bookmarkEnd w:id="146"/>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0"/>
        <w:gridCol w:w="2860"/>
        <w:gridCol w:w="1700"/>
        <w:gridCol w:w="1700"/>
        <w:gridCol w:w="1600"/>
      </w:tblGrid>
      <w:tr w:rsidR="00BC1555" w14:paraId="5D0E49D2" w14:textId="77777777">
        <w:trPr>
          <w:tblHeader/>
        </w:trPr>
        <w:tc>
          <w:tcPr>
            <w:tcW w:w="1500" w:type="dxa"/>
            <w:shd w:val="clear" w:color="auto" w:fill="2E6B5E"/>
            <w:tcMar>
              <w:top w:w="60" w:type="dxa"/>
              <w:left w:w="110" w:type="dxa"/>
              <w:bottom w:w="60" w:type="dxa"/>
              <w:right w:w="110" w:type="dxa"/>
            </w:tcMar>
            <w:vAlign w:val="center"/>
          </w:tcPr>
          <w:p w14:paraId="7ED36B24"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b/>
                <w:bCs/>
                <w:color w:val="FFFFFF"/>
                <w:sz w:val="20"/>
                <w:szCs w:val="20"/>
              </w:rPr>
              <w:t>Station</w:t>
            </w:r>
          </w:p>
        </w:tc>
        <w:tc>
          <w:tcPr>
            <w:tcW w:w="2860" w:type="dxa"/>
            <w:shd w:val="clear" w:color="auto" w:fill="2E6B5E"/>
            <w:tcMar>
              <w:top w:w="60" w:type="dxa"/>
              <w:left w:w="110" w:type="dxa"/>
              <w:bottom w:w="60" w:type="dxa"/>
              <w:right w:w="110" w:type="dxa"/>
            </w:tcMar>
            <w:vAlign w:val="center"/>
          </w:tcPr>
          <w:p w14:paraId="0FC23F1D"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b/>
                <w:bCs/>
                <w:color w:val="FFFFFF"/>
                <w:sz w:val="20"/>
                <w:szCs w:val="20"/>
              </w:rPr>
              <w:t>Region</w:t>
            </w:r>
          </w:p>
        </w:tc>
        <w:tc>
          <w:tcPr>
            <w:tcW w:w="1700" w:type="dxa"/>
            <w:shd w:val="clear" w:color="auto" w:fill="2E6B5E"/>
            <w:tcMar>
              <w:top w:w="60" w:type="dxa"/>
              <w:left w:w="110" w:type="dxa"/>
              <w:bottom w:w="60" w:type="dxa"/>
              <w:right w:w="110" w:type="dxa"/>
            </w:tcMar>
            <w:vAlign w:val="center"/>
          </w:tcPr>
          <w:p w14:paraId="29FBF8E7"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b/>
                <w:bCs/>
                <w:color w:val="FFFFFF"/>
                <w:sz w:val="20"/>
                <w:szCs w:val="20"/>
              </w:rPr>
              <w:t>Mean NDVI</w:t>
            </w:r>
          </w:p>
        </w:tc>
        <w:tc>
          <w:tcPr>
            <w:tcW w:w="1700" w:type="dxa"/>
            <w:shd w:val="clear" w:color="auto" w:fill="2E6B5E"/>
            <w:tcMar>
              <w:top w:w="60" w:type="dxa"/>
              <w:left w:w="110" w:type="dxa"/>
              <w:bottom w:w="60" w:type="dxa"/>
              <w:right w:w="110" w:type="dxa"/>
            </w:tcMar>
            <w:vAlign w:val="center"/>
          </w:tcPr>
          <w:p w14:paraId="428886B1"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b/>
                <w:bCs/>
                <w:color w:val="FFFFFF"/>
                <w:sz w:val="20"/>
                <w:szCs w:val="20"/>
              </w:rPr>
              <w:t>Mean NDWI</w:t>
            </w:r>
          </w:p>
        </w:tc>
        <w:tc>
          <w:tcPr>
            <w:tcW w:w="1600" w:type="dxa"/>
            <w:shd w:val="clear" w:color="auto" w:fill="2E6B5E"/>
            <w:tcMar>
              <w:top w:w="60" w:type="dxa"/>
              <w:left w:w="110" w:type="dxa"/>
              <w:bottom w:w="60" w:type="dxa"/>
              <w:right w:w="110" w:type="dxa"/>
            </w:tcMar>
            <w:vAlign w:val="center"/>
          </w:tcPr>
          <w:p w14:paraId="0AA406CD"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b/>
                <w:bCs/>
                <w:color w:val="FFFFFF"/>
                <w:sz w:val="20"/>
                <w:szCs w:val="20"/>
              </w:rPr>
              <w:t>Count</w:t>
            </w:r>
          </w:p>
        </w:tc>
      </w:tr>
      <w:tr w:rsidR="00BC1555" w14:paraId="2217CE4B" w14:textId="77777777">
        <w:tc>
          <w:tcPr>
            <w:tcW w:w="1500" w:type="dxa"/>
            <w:tcMar>
              <w:top w:w="60" w:type="dxa"/>
              <w:left w:w="110" w:type="dxa"/>
              <w:bottom w:w="60" w:type="dxa"/>
              <w:right w:w="110" w:type="dxa"/>
            </w:tcMar>
            <w:vAlign w:val="center"/>
          </w:tcPr>
          <w:p w14:paraId="58FBB1DA"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S-03</w:t>
            </w:r>
          </w:p>
        </w:tc>
        <w:tc>
          <w:tcPr>
            <w:tcW w:w="2860" w:type="dxa"/>
            <w:tcMar>
              <w:top w:w="60" w:type="dxa"/>
              <w:left w:w="110" w:type="dxa"/>
              <w:bottom w:w="60" w:type="dxa"/>
              <w:right w:w="110" w:type="dxa"/>
            </w:tcMar>
            <w:vAlign w:val="center"/>
          </w:tcPr>
          <w:p w14:paraId="4AE2EE6F"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Southern</w:t>
            </w:r>
          </w:p>
        </w:tc>
        <w:tc>
          <w:tcPr>
            <w:tcW w:w="1700" w:type="dxa"/>
            <w:tcMar>
              <w:top w:w="60" w:type="dxa"/>
              <w:left w:w="110" w:type="dxa"/>
              <w:bottom w:w="60" w:type="dxa"/>
              <w:right w:w="110" w:type="dxa"/>
            </w:tcMar>
            <w:vAlign w:val="center"/>
          </w:tcPr>
          <w:p w14:paraId="7EE1E3EC"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0.051</w:t>
            </w:r>
          </w:p>
        </w:tc>
        <w:tc>
          <w:tcPr>
            <w:tcW w:w="1700" w:type="dxa"/>
            <w:tcMar>
              <w:top w:w="60" w:type="dxa"/>
              <w:left w:w="110" w:type="dxa"/>
              <w:bottom w:w="60" w:type="dxa"/>
              <w:right w:w="110" w:type="dxa"/>
            </w:tcMar>
            <w:vAlign w:val="center"/>
          </w:tcPr>
          <w:p w14:paraId="3AF1DF81"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0.071</w:t>
            </w:r>
          </w:p>
        </w:tc>
        <w:tc>
          <w:tcPr>
            <w:tcW w:w="1600" w:type="dxa"/>
            <w:tcMar>
              <w:top w:w="60" w:type="dxa"/>
              <w:left w:w="110" w:type="dxa"/>
              <w:bottom w:w="60" w:type="dxa"/>
              <w:right w:w="110" w:type="dxa"/>
            </w:tcMar>
            <w:vAlign w:val="center"/>
          </w:tcPr>
          <w:p w14:paraId="6C181A9F"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980</w:t>
            </w:r>
          </w:p>
        </w:tc>
      </w:tr>
      <w:tr w:rsidR="00BC1555" w14:paraId="0DDF0F3D" w14:textId="77777777">
        <w:tc>
          <w:tcPr>
            <w:tcW w:w="1500" w:type="dxa"/>
            <w:shd w:val="clear" w:color="auto" w:fill="EEF4F2"/>
            <w:tcMar>
              <w:top w:w="60" w:type="dxa"/>
              <w:left w:w="110" w:type="dxa"/>
              <w:bottom w:w="60" w:type="dxa"/>
              <w:right w:w="110" w:type="dxa"/>
            </w:tcMar>
            <w:vAlign w:val="center"/>
          </w:tcPr>
          <w:p w14:paraId="7E1A1106"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S-01</w:t>
            </w:r>
          </w:p>
        </w:tc>
        <w:tc>
          <w:tcPr>
            <w:tcW w:w="2860" w:type="dxa"/>
            <w:shd w:val="clear" w:color="auto" w:fill="EEF4F2"/>
            <w:tcMar>
              <w:top w:w="60" w:type="dxa"/>
              <w:left w:w="110" w:type="dxa"/>
              <w:bottom w:w="60" w:type="dxa"/>
              <w:right w:w="110" w:type="dxa"/>
            </w:tcMar>
            <w:vAlign w:val="center"/>
          </w:tcPr>
          <w:p w14:paraId="490C157B"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Southern</w:t>
            </w:r>
          </w:p>
        </w:tc>
        <w:tc>
          <w:tcPr>
            <w:tcW w:w="1700" w:type="dxa"/>
            <w:shd w:val="clear" w:color="auto" w:fill="EEF4F2"/>
            <w:tcMar>
              <w:top w:w="60" w:type="dxa"/>
              <w:left w:w="110" w:type="dxa"/>
              <w:bottom w:w="60" w:type="dxa"/>
              <w:right w:w="110" w:type="dxa"/>
            </w:tcMar>
            <w:vAlign w:val="center"/>
          </w:tcPr>
          <w:p w14:paraId="6FA0E4BA"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0.025</w:t>
            </w:r>
          </w:p>
        </w:tc>
        <w:tc>
          <w:tcPr>
            <w:tcW w:w="1700" w:type="dxa"/>
            <w:shd w:val="clear" w:color="auto" w:fill="EEF4F2"/>
            <w:tcMar>
              <w:top w:w="60" w:type="dxa"/>
              <w:left w:w="110" w:type="dxa"/>
              <w:bottom w:w="60" w:type="dxa"/>
              <w:right w:w="110" w:type="dxa"/>
            </w:tcMar>
            <w:vAlign w:val="center"/>
          </w:tcPr>
          <w:p w14:paraId="0A7393A2"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0.112</w:t>
            </w:r>
          </w:p>
        </w:tc>
        <w:tc>
          <w:tcPr>
            <w:tcW w:w="1600" w:type="dxa"/>
            <w:shd w:val="clear" w:color="auto" w:fill="EEF4F2"/>
            <w:tcMar>
              <w:top w:w="60" w:type="dxa"/>
              <w:left w:w="110" w:type="dxa"/>
              <w:bottom w:w="60" w:type="dxa"/>
              <w:right w:w="110" w:type="dxa"/>
            </w:tcMar>
            <w:vAlign w:val="center"/>
          </w:tcPr>
          <w:p w14:paraId="0EF35C3C"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1,372</w:t>
            </w:r>
          </w:p>
        </w:tc>
      </w:tr>
      <w:tr w:rsidR="00BC1555" w14:paraId="757E8680" w14:textId="77777777">
        <w:tc>
          <w:tcPr>
            <w:tcW w:w="1500" w:type="dxa"/>
            <w:tcMar>
              <w:top w:w="60" w:type="dxa"/>
              <w:left w:w="110" w:type="dxa"/>
              <w:bottom w:w="60" w:type="dxa"/>
              <w:right w:w="110" w:type="dxa"/>
            </w:tcMar>
            <w:vAlign w:val="center"/>
          </w:tcPr>
          <w:p w14:paraId="38BEDB43"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E-03</w:t>
            </w:r>
          </w:p>
        </w:tc>
        <w:tc>
          <w:tcPr>
            <w:tcW w:w="2860" w:type="dxa"/>
            <w:tcMar>
              <w:top w:w="60" w:type="dxa"/>
              <w:left w:w="110" w:type="dxa"/>
              <w:bottom w:w="60" w:type="dxa"/>
              <w:right w:w="110" w:type="dxa"/>
            </w:tcMar>
            <w:vAlign w:val="center"/>
          </w:tcPr>
          <w:p w14:paraId="0CEE7475"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Eastern</w:t>
            </w:r>
          </w:p>
        </w:tc>
        <w:tc>
          <w:tcPr>
            <w:tcW w:w="1700" w:type="dxa"/>
            <w:tcMar>
              <w:top w:w="60" w:type="dxa"/>
              <w:left w:w="110" w:type="dxa"/>
              <w:bottom w:w="60" w:type="dxa"/>
              <w:right w:w="110" w:type="dxa"/>
            </w:tcMar>
            <w:vAlign w:val="center"/>
          </w:tcPr>
          <w:p w14:paraId="32F65B2F"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−0.003</w:t>
            </w:r>
          </w:p>
        </w:tc>
        <w:tc>
          <w:tcPr>
            <w:tcW w:w="1700" w:type="dxa"/>
            <w:tcMar>
              <w:top w:w="60" w:type="dxa"/>
              <w:left w:w="110" w:type="dxa"/>
              <w:bottom w:w="60" w:type="dxa"/>
              <w:right w:w="110" w:type="dxa"/>
            </w:tcMar>
            <w:vAlign w:val="center"/>
          </w:tcPr>
          <w:p w14:paraId="3014FA22"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0.131</w:t>
            </w:r>
          </w:p>
        </w:tc>
        <w:tc>
          <w:tcPr>
            <w:tcW w:w="1600" w:type="dxa"/>
            <w:tcMar>
              <w:top w:w="60" w:type="dxa"/>
              <w:left w:w="110" w:type="dxa"/>
              <w:bottom w:w="60" w:type="dxa"/>
              <w:right w:w="110" w:type="dxa"/>
            </w:tcMar>
            <w:vAlign w:val="center"/>
          </w:tcPr>
          <w:p w14:paraId="2FCCBEF2"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2,548</w:t>
            </w:r>
          </w:p>
        </w:tc>
      </w:tr>
      <w:tr w:rsidR="00BC1555" w14:paraId="605EF239" w14:textId="77777777">
        <w:tc>
          <w:tcPr>
            <w:tcW w:w="1500" w:type="dxa"/>
            <w:shd w:val="clear" w:color="auto" w:fill="EEF4F2"/>
            <w:tcMar>
              <w:top w:w="60" w:type="dxa"/>
              <w:left w:w="110" w:type="dxa"/>
              <w:bottom w:w="60" w:type="dxa"/>
              <w:right w:w="110" w:type="dxa"/>
            </w:tcMar>
            <w:vAlign w:val="center"/>
          </w:tcPr>
          <w:p w14:paraId="38C0D000"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NW-01</w:t>
            </w:r>
          </w:p>
        </w:tc>
        <w:tc>
          <w:tcPr>
            <w:tcW w:w="2860" w:type="dxa"/>
            <w:shd w:val="clear" w:color="auto" w:fill="EEF4F2"/>
            <w:tcMar>
              <w:top w:w="60" w:type="dxa"/>
              <w:left w:w="110" w:type="dxa"/>
              <w:bottom w:w="60" w:type="dxa"/>
              <w:right w:w="110" w:type="dxa"/>
            </w:tcMar>
            <w:vAlign w:val="center"/>
          </w:tcPr>
          <w:p w14:paraId="57F86A5D"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Dynamic Targeting</w:t>
            </w:r>
          </w:p>
        </w:tc>
        <w:tc>
          <w:tcPr>
            <w:tcW w:w="1700" w:type="dxa"/>
            <w:shd w:val="clear" w:color="auto" w:fill="EEF4F2"/>
            <w:tcMar>
              <w:top w:w="60" w:type="dxa"/>
              <w:left w:w="110" w:type="dxa"/>
              <w:bottom w:w="60" w:type="dxa"/>
              <w:right w:w="110" w:type="dxa"/>
            </w:tcMar>
            <w:vAlign w:val="center"/>
          </w:tcPr>
          <w:p w14:paraId="70154DDF"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−0.020</w:t>
            </w:r>
          </w:p>
        </w:tc>
        <w:tc>
          <w:tcPr>
            <w:tcW w:w="1700" w:type="dxa"/>
            <w:shd w:val="clear" w:color="auto" w:fill="EEF4F2"/>
            <w:tcMar>
              <w:top w:w="60" w:type="dxa"/>
              <w:left w:w="110" w:type="dxa"/>
              <w:bottom w:w="60" w:type="dxa"/>
              <w:right w:w="110" w:type="dxa"/>
            </w:tcMar>
            <w:vAlign w:val="center"/>
          </w:tcPr>
          <w:p w14:paraId="7C5946EA"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0.154</w:t>
            </w:r>
          </w:p>
        </w:tc>
        <w:tc>
          <w:tcPr>
            <w:tcW w:w="1600" w:type="dxa"/>
            <w:shd w:val="clear" w:color="auto" w:fill="EEF4F2"/>
            <w:tcMar>
              <w:top w:w="60" w:type="dxa"/>
              <w:left w:w="110" w:type="dxa"/>
              <w:bottom w:w="60" w:type="dxa"/>
              <w:right w:w="110" w:type="dxa"/>
            </w:tcMar>
            <w:vAlign w:val="center"/>
          </w:tcPr>
          <w:p w14:paraId="08027639"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2,156</w:t>
            </w:r>
          </w:p>
        </w:tc>
      </w:tr>
      <w:tr w:rsidR="00BC1555" w14:paraId="70767CB5" w14:textId="77777777">
        <w:tc>
          <w:tcPr>
            <w:tcW w:w="1500" w:type="dxa"/>
            <w:tcMar>
              <w:top w:w="60" w:type="dxa"/>
              <w:left w:w="110" w:type="dxa"/>
              <w:bottom w:w="60" w:type="dxa"/>
              <w:right w:w="110" w:type="dxa"/>
            </w:tcMar>
            <w:vAlign w:val="center"/>
          </w:tcPr>
          <w:p w14:paraId="3E008944"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S-02</w:t>
            </w:r>
          </w:p>
        </w:tc>
        <w:tc>
          <w:tcPr>
            <w:tcW w:w="2860" w:type="dxa"/>
            <w:tcMar>
              <w:top w:w="60" w:type="dxa"/>
              <w:left w:w="110" w:type="dxa"/>
              <w:bottom w:w="60" w:type="dxa"/>
              <w:right w:w="110" w:type="dxa"/>
            </w:tcMar>
            <w:vAlign w:val="center"/>
          </w:tcPr>
          <w:p w14:paraId="359EB937"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Southern</w:t>
            </w:r>
          </w:p>
        </w:tc>
        <w:tc>
          <w:tcPr>
            <w:tcW w:w="1700" w:type="dxa"/>
            <w:tcMar>
              <w:top w:w="60" w:type="dxa"/>
              <w:left w:w="110" w:type="dxa"/>
              <w:bottom w:w="60" w:type="dxa"/>
              <w:right w:w="110" w:type="dxa"/>
            </w:tcMar>
            <w:vAlign w:val="center"/>
          </w:tcPr>
          <w:p w14:paraId="25343FB6"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−0.038</w:t>
            </w:r>
          </w:p>
        </w:tc>
        <w:tc>
          <w:tcPr>
            <w:tcW w:w="1700" w:type="dxa"/>
            <w:tcMar>
              <w:top w:w="60" w:type="dxa"/>
              <w:left w:w="110" w:type="dxa"/>
              <w:bottom w:w="60" w:type="dxa"/>
              <w:right w:w="110" w:type="dxa"/>
            </w:tcMar>
            <w:vAlign w:val="center"/>
          </w:tcPr>
          <w:p w14:paraId="607CDC97"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0.167</w:t>
            </w:r>
          </w:p>
        </w:tc>
        <w:tc>
          <w:tcPr>
            <w:tcW w:w="1600" w:type="dxa"/>
            <w:tcMar>
              <w:top w:w="60" w:type="dxa"/>
              <w:left w:w="110" w:type="dxa"/>
              <w:bottom w:w="60" w:type="dxa"/>
              <w:right w:w="110" w:type="dxa"/>
            </w:tcMar>
            <w:vAlign w:val="center"/>
          </w:tcPr>
          <w:p w14:paraId="312784E4"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1,092</w:t>
            </w:r>
          </w:p>
        </w:tc>
      </w:tr>
      <w:tr w:rsidR="00BC1555" w14:paraId="38D53D9C" w14:textId="77777777">
        <w:tc>
          <w:tcPr>
            <w:tcW w:w="1500" w:type="dxa"/>
            <w:shd w:val="clear" w:color="auto" w:fill="EEF4F2"/>
            <w:tcMar>
              <w:top w:w="60" w:type="dxa"/>
              <w:left w:w="110" w:type="dxa"/>
              <w:bottom w:w="60" w:type="dxa"/>
              <w:right w:w="110" w:type="dxa"/>
            </w:tcMar>
            <w:vAlign w:val="center"/>
          </w:tcPr>
          <w:p w14:paraId="363C4A92"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lastRenderedPageBreak/>
              <w:t>N-03</w:t>
            </w:r>
          </w:p>
        </w:tc>
        <w:tc>
          <w:tcPr>
            <w:tcW w:w="2860" w:type="dxa"/>
            <w:shd w:val="clear" w:color="auto" w:fill="EEF4F2"/>
            <w:tcMar>
              <w:top w:w="60" w:type="dxa"/>
              <w:left w:w="110" w:type="dxa"/>
              <w:bottom w:w="60" w:type="dxa"/>
              <w:right w:w="110" w:type="dxa"/>
            </w:tcMar>
            <w:vAlign w:val="center"/>
          </w:tcPr>
          <w:p w14:paraId="42058ECB"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Northern</w:t>
            </w:r>
          </w:p>
        </w:tc>
        <w:tc>
          <w:tcPr>
            <w:tcW w:w="1700" w:type="dxa"/>
            <w:shd w:val="clear" w:color="auto" w:fill="EEF4F2"/>
            <w:tcMar>
              <w:top w:w="60" w:type="dxa"/>
              <w:left w:w="110" w:type="dxa"/>
              <w:bottom w:w="60" w:type="dxa"/>
              <w:right w:w="110" w:type="dxa"/>
            </w:tcMar>
            <w:vAlign w:val="center"/>
          </w:tcPr>
          <w:p w14:paraId="6A43CDB9"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−0.059</w:t>
            </w:r>
          </w:p>
        </w:tc>
        <w:tc>
          <w:tcPr>
            <w:tcW w:w="1700" w:type="dxa"/>
            <w:shd w:val="clear" w:color="auto" w:fill="EEF4F2"/>
            <w:tcMar>
              <w:top w:w="60" w:type="dxa"/>
              <w:left w:w="110" w:type="dxa"/>
              <w:bottom w:w="60" w:type="dxa"/>
              <w:right w:w="110" w:type="dxa"/>
            </w:tcMar>
            <w:vAlign w:val="center"/>
          </w:tcPr>
          <w:p w14:paraId="46381317"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0.182</w:t>
            </w:r>
          </w:p>
        </w:tc>
        <w:tc>
          <w:tcPr>
            <w:tcW w:w="1600" w:type="dxa"/>
            <w:shd w:val="clear" w:color="auto" w:fill="EEF4F2"/>
            <w:tcMar>
              <w:top w:w="60" w:type="dxa"/>
              <w:left w:w="110" w:type="dxa"/>
              <w:bottom w:w="60" w:type="dxa"/>
              <w:right w:w="110" w:type="dxa"/>
            </w:tcMar>
            <w:vAlign w:val="center"/>
          </w:tcPr>
          <w:p w14:paraId="70412DDF"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1,372</w:t>
            </w:r>
          </w:p>
        </w:tc>
      </w:tr>
      <w:tr w:rsidR="00BC1555" w14:paraId="6795132F" w14:textId="77777777">
        <w:tc>
          <w:tcPr>
            <w:tcW w:w="1500" w:type="dxa"/>
            <w:tcMar>
              <w:top w:w="60" w:type="dxa"/>
              <w:left w:w="110" w:type="dxa"/>
              <w:bottom w:w="60" w:type="dxa"/>
              <w:right w:w="110" w:type="dxa"/>
            </w:tcMar>
            <w:vAlign w:val="center"/>
          </w:tcPr>
          <w:p w14:paraId="32984AF8"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N-02</w:t>
            </w:r>
          </w:p>
        </w:tc>
        <w:tc>
          <w:tcPr>
            <w:tcW w:w="2860" w:type="dxa"/>
            <w:tcMar>
              <w:top w:w="60" w:type="dxa"/>
              <w:left w:w="110" w:type="dxa"/>
              <w:bottom w:w="60" w:type="dxa"/>
              <w:right w:w="110" w:type="dxa"/>
            </w:tcMar>
            <w:vAlign w:val="center"/>
          </w:tcPr>
          <w:p w14:paraId="1780ED0E"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Northern</w:t>
            </w:r>
          </w:p>
        </w:tc>
        <w:tc>
          <w:tcPr>
            <w:tcW w:w="1700" w:type="dxa"/>
            <w:tcMar>
              <w:top w:w="60" w:type="dxa"/>
              <w:left w:w="110" w:type="dxa"/>
              <w:bottom w:w="60" w:type="dxa"/>
              <w:right w:w="110" w:type="dxa"/>
            </w:tcMar>
            <w:vAlign w:val="center"/>
          </w:tcPr>
          <w:p w14:paraId="4812E736"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−0.071</w:t>
            </w:r>
          </w:p>
        </w:tc>
        <w:tc>
          <w:tcPr>
            <w:tcW w:w="1700" w:type="dxa"/>
            <w:tcMar>
              <w:top w:w="60" w:type="dxa"/>
              <w:left w:w="110" w:type="dxa"/>
              <w:bottom w:w="60" w:type="dxa"/>
              <w:right w:w="110" w:type="dxa"/>
            </w:tcMar>
            <w:vAlign w:val="center"/>
          </w:tcPr>
          <w:p w14:paraId="183CD424"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0.207</w:t>
            </w:r>
          </w:p>
        </w:tc>
        <w:tc>
          <w:tcPr>
            <w:tcW w:w="1600" w:type="dxa"/>
            <w:tcMar>
              <w:top w:w="60" w:type="dxa"/>
              <w:left w:w="110" w:type="dxa"/>
              <w:bottom w:w="60" w:type="dxa"/>
              <w:right w:w="110" w:type="dxa"/>
            </w:tcMar>
            <w:vAlign w:val="center"/>
          </w:tcPr>
          <w:p w14:paraId="70A33487"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1,568</w:t>
            </w:r>
          </w:p>
        </w:tc>
      </w:tr>
      <w:tr w:rsidR="00BC1555" w14:paraId="77A1E72A" w14:textId="77777777">
        <w:tc>
          <w:tcPr>
            <w:tcW w:w="1500" w:type="dxa"/>
            <w:shd w:val="clear" w:color="auto" w:fill="EEF4F2"/>
            <w:tcMar>
              <w:top w:w="60" w:type="dxa"/>
              <w:left w:w="110" w:type="dxa"/>
              <w:bottom w:w="60" w:type="dxa"/>
              <w:right w:w="110" w:type="dxa"/>
            </w:tcMar>
            <w:vAlign w:val="center"/>
          </w:tcPr>
          <w:p w14:paraId="1DF12B88"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E-02</w:t>
            </w:r>
          </w:p>
        </w:tc>
        <w:tc>
          <w:tcPr>
            <w:tcW w:w="2860" w:type="dxa"/>
            <w:shd w:val="clear" w:color="auto" w:fill="EEF4F2"/>
            <w:tcMar>
              <w:top w:w="60" w:type="dxa"/>
              <w:left w:w="110" w:type="dxa"/>
              <w:bottom w:w="60" w:type="dxa"/>
              <w:right w:w="110" w:type="dxa"/>
            </w:tcMar>
            <w:vAlign w:val="center"/>
          </w:tcPr>
          <w:p w14:paraId="481FBB00"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Eastern</w:t>
            </w:r>
          </w:p>
        </w:tc>
        <w:tc>
          <w:tcPr>
            <w:tcW w:w="1700" w:type="dxa"/>
            <w:shd w:val="clear" w:color="auto" w:fill="EEF4F2"/>
            <w:tcMar>
              <w:top w:w="60" w:type="dxa"/>
              <w:left w:w="110" w:type="dxa"/>
              <w:bottom w:w="60" w:type="dxa"/>
              <w:right w:w="110" w:type="dxa"/>
            </w:tcMar>
            <w:vAlign w:val="center"/>
          </w:tcPr>
          <w:p w14:paraId="0455CA7E"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−0.073</w:t>
            </w:r>
          </w:p>
        </w:tc>
        <w:tc>
          <w:tcPr>
            <w:tcW w:w="1700" w:type="dxa"/>
            <w:shd w:val="clear" w:color="auto" w:fill="EEF4F2"/>
            <w:tcMar>
              <w:top w:w="60" w:type="dxa"/>
              <w:left w:w="110" w:type="dxa"/>
              <w:bottom w:w="60" w:type="dxa"/>
              <w:right w:w="110" w:type="dxa"/>
            </w:tcMar>
            <w:vAlign w:val="center"/>
          </w:tcPr>
          <w:p w14:paraId="6A45EEEE"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0.198</w:t>
            </w:r>
          </w:p>
        </w:tc>
        <w:tc>
          <w:tcPr>
            <w:tcW w:w="1600" w:type="dxa"/>
            <w:shd w:val="clear" w:color="auto" w:fill="EEF4F2"/>
            <w:tcMar>
              <w:top w:w="60" w:type="dxa"/>
              <w:left w:w="110" w:type="dxa"/>
              <w:bottom w:w="60" w:type="dxa"/>
              <w:right w:w="110" w:type="dxa"/>
            </w:tcMar>
            <w:vAlign w:val="center"/>
          </w:tcPr>
          <w:p w14:paraId="17EC1248"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2,744</w:t>
            </w:r>
          </w:p>
        </w:tc>
      </w:tr>
      <w:tr w:rsidR="00BC1555" w14:paraId="1CBB40E4" w14:textId="77777777">
        <w:tc>
          <w:tcPr>
            <w:tcW w:w="1500" w:type="dxa"/>
            <w:tcMar>
              <w:top w:w="60" w:type="dxa"/>
              <w:left w:w="110" w:type="dxa"/>
              <w:bottom w:w="60" w:type="dxa"/>
              <w:right w:w="110" w:type="dxa"/>
            </w:tcMar>
            <w:vAlign w:val="center"/>
          </w:tcPr>
          <w:p w14:paraId="6E5E4957"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W-03</w:t>
            </w:r>
          </w:p>
        </w:tc>
        <w:tc>
          <w:tcPr>
            <w:tcW w:w="2860" w:type="dxa"/>
            <w:tcMar>
              <w:top w:w="60" w:type="dxa"/>
              <w:left w:w="110" w:type="dxa"/>
              <w:bottom w:w="60" w:type="dxa"/>
              <w:right w:w="110" w:type="dxa"/>
            </w:tcMar>
            <w:vAlign w:val="center"/>
          </w:tcPr>
          <w:p w14:paraId="323087FE"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Western</w:t>
            </w:r>
          </w:p>
        </w:tc>
        <w:tc>
          <w:tcPr>
            <w:tcW w:w="1700" w:type="dxa"/>
            <w:tcMar>
              <w:top w:w="60" w:type="dxa"/>
              <w:left w:w="110" w:type="dxa"/>
              <w:bottom w:w="60" w:type="dxa"/>
              <w:right w:w="110" w:type="dxa"/>
            </w:tcMar>
            <w:vAlign w:val="center"/>
          </w:tcPr>
          <w:p w14:paraId="0ADDD8A5"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−0.082</w:t>
            </w:r>
          </w:p>
        </w:tc>
        <w:tc>
          <w:tcPr>
            <w:tcW w:w="1700" w:type="dxa"/>
            <w:tcMar>
              <w:top w:w="60" w:type="dxa"/>
              <w:left w:w="110" w:type="dxa"/>
              <w:bottom w:w="60" w:type="dxa"/>
              <w:right w:w="110" w:type="dxa"/>
            </w:tcMar>
            <w:vAlign w:val="center"/>
          </w:tcPr>
          <w:p w14:paraId="7BCCDC59"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0.213</w:t>
            </w:r>
          </w:p>
        </w:tc>
        <w:tc>
          <w:tcPr>
            <w:tcW w:w="1600" w:type="dxa"/>
            <w:tcMar>
              <w:top w:w="60" w:type="dxa"/>
              <w:left w:w="110" w:type="dxa"/>
              <w:bottom w:w="60" w:type="dxa"/>
              <w:right w:w="110" w:type="dxa"/>
            </w:tcMar>
            <w:vAlign w:val="center"/>
          </w:tcPr>
          <w:p w14:paraId="7D2E3B30"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630</w:t>
            </w:r>
          </w:p>
        </w:tc>
      </w:tr>
      <w:tr w:rsidR="00BC1555" w14:paraId="7E5DFC3C" w14:textId="77777777">
        <w:tc>
          <w:tcPr>
            <w:tcW w:w="1500" w:type="dxa"/>
            <w:shd w:val="clear" w:color="auto" w:fill="EEF4F2"/>
            <w:tcMar>
              <w:top w:w="60" w:type="dxa"/>
              <w:left w:w="110" w:type="dxa"/>
              <w:bottom w:w="60" w:type="dxa"/>
              <w:right w:w="110" w:type="dxa"/>
            </w:tcMar>
            <w:vAlign w:val="center"/>
          </w:tcPr>
          <w:p w14:paraId="608B4619"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W-02</w:t>
            </w:r>
          </w:p>
        </w:tc>
        <w:tc>
          <w:tcPr>
            <w:tcW w:w="2860" w:type="dxa"/>
            <w:shd w:val="clear" w:color="auto" w:fill="EEF4F2"/>
            <w:tcMar>
              <w:top w:w="60" w:type="dxa"/>
              <w:left w:w="110" w:type="dxa"/>
              <w:bottom w:w="60" w:type="dxa"/>
              <w:right w:w="110" w:type="dxa"/>
            </w:tcMar>
            <w:vAlign w:val="center"/>
          </w:tcPr>
          <w:p w14:paraId="5A0D263D"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Western</w:t>
            </w:r>
          </w:p>
        </w:tc>
        <w:tc>
          <w:tcPr>
            <w:tcW w:w="1700" w:type="dxa"/>
            <w:shd w:val="clear" w:color="auto" w:fill="EEF4F2"/>
            <w:tcMar>
              <w:top w:w="60" w:type="dxa"/>
              <w:left w:w="110" w:type="dxa"/>
              <w:bottom w:w="60" w:type="dxa"/>
              <w:right w:w="110" w:type="dxa"/>
            </w:tcMar>
            <w:vAlign w:val="center"/>
          </w:tcPr>
          <w:p w14:paraId="4580E759"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−0.086</w:t>
            </w:r>
          </w:p>
        </w:tc>
        <w:tc>
          <w:tcPr>
            <w:tcW w:w="1700" w:type="dxa"/>
            <w:shd w:val="clear" w:color="auto" w:fill="EEF4F2"/>
            <w:tcMar>
              <w:top w:w="60" w:type="dxa"/>
              <w:left w:w="110" w:type="dxa"/>
              <w:bottom w:w="60" w:type="dxa"/>
              <w:right w:w="110" w:type="dxa"/>
            </w:tcMar>
            <w:vAlign w:val="center"/>
          </w:tcPr>
          <w:p w14:paraId="7D381E77"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0.229</w:t>
            </w:r>
          </w:p>
        </w:tc>
        <w:tc>
          <w:tcPr>
            <w:tcW w:w="1600" w:type="dxa"/>
            <w:shd w:val="clear" w:color="auto" w:fill="EEF4F2"/>
            <w:tcMar>
              <w:top w:w="60" w:type="dxa"/>
              <w:left w:w="110" w:type="dxa"/>
              <w:bottom w:w="60" w:type="dxa"/>
              <w:right w:w="110" w:type="dxa"/>
            </w:tcMar>
            <w:vAlign w:val="center"/>
          </w:tcPr>
          <w:p w14:paraId="6CF5B2F7"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945</w:t>
            </w:r>
          </w:p>
        </w:tc>
      </w:tr>
      <w:tr w:rsidR="00BC1555" w14:paraId="55CE4593" w14:textId="77777777">
        <w:tc>
          <w:tcPr>
            <w:tcW w:w="1500" w:type="dxa"/>
            <w:tcMar>
              <w:top w:w="60" w:type="dxa"/>
              <w:left w:w="110" w:type="dxa"/>
              <w:bottom w:w="60" w:type="dxa"/>
              <w:right w:w="110" w:type="dxa"/>
            </w:tcMar>
            <w:vAlign w:val="center"/>
          </w:tcPr>
          <w:p w14:paraId="23E7AC33"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N-01</w:t>
            </w:r>
          </w:p>
        </w:tc>
        <w:tc>
          <w:tcPr>
            <w:tcW w:w="2860" w:type="dxa"/>
            <w:tcMar>
              <w:top w:w="60" w:type="dxa"/>
              <w:left w:w="110" w:type="dxa"/>
              <w:bottom w:w="60" w:type="dxa"/>
              <w:right w:w="110" w:type="dxa"/>
            </w:tcMar>
            <w:vAlign w:val="center"/>
          </w:tcPr>
          <w:p w14:paraId="09C5E983"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Northern</w:t>
            </w:r>
          </w:p>
        </w:tc>
        <w:tc>
          <w:tcPr>
            <w:tcW w:w="1700" w:type="dxa"/>
            <w:tcMar>
              <w:top w:w="60" w:type="dxa"/>
              <w:left w:w="110" w:type="dxa"/>
              <w:bottom w:w="60" w:type="dxa"/>
              <w:right w:w="110" w:type="dxa"/>
            </w:tcMar>
            <w:vAlign w:val="center"/>
          </w:tcPr>
          <w:p w14:paraId="089BF6EC"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−0.087</w:t>
            </w:r>
          </w:p>
        </w:tc>
        <w:tc>
          <w:tcPr>
            <w:tcW w:w="1700" w:type="dxa"/>
            <w:tcMar>
              <w:top w:w="60" w:type="dxa"/>
              <w:left w:w="110" w:type="dxa"/>
              <w:bottom w:w="60" w:type="dxa"/>
              <w:right w:w="110" w:type="dxa"/>
            </w:tcMar>
            <w:vAlign w:val="center"/>
          </w:tcPr>
          <w:p w14:paraId="625C7547"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0.217</w:t>
            </w:r>
          </w:p>
        </w:tc>
        <w:tc>
          <w:tcPr>
            <w:tcW w:w="1600" w:type="dxa"/>
            <w:tcMar>
              <w:top w:w="60" w:type="dxa"/>
              <w:left w:w="110" w:type="dxa"/>
              <w:bottom w:w="60" w:type="dxa"/>
              <w:right w:w="110" w:type="dxa"/>
            </w:tcMar>
            <w:vAlign w:val="center"/>
          </w:tcPr>
          <w:p w14:paraId="100C11D1"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1,827</w:t>
            </w:r>
          </w:p>
        </w:tc>
      </w:tr>
      <w:tr w:rsidR="00BC1555" w14:paraId="48AAF392" w14:textId="77777777">
        <w:tc>
          <w:tcPr>
            <w:tcW w:w="1500" w:type="dxa"/>
            <w:shd w:val="clear" w:color="auto" w:fill="EEF4F2"/>
            <w:tcMar>
              <w:top w:w="60" w:type="dxa"/>
              <w:left w:w="110" w:type="dxa"/>
              <w:bottom w:w="60" w:type="dxa"/>
              <w:right w:w="110" w:type="dxa"/>
            </w:tcMar>
            <w:vAlign w:val="center"/>
          </w:tcPr>
          <w:p w14:paraId="3584F814"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HV-02</w:t>
            </w:r>
          </w:p>
        </w:tc>
        <w:tc>
          <w:tcPr>
            <w:tcW w:w="2860" w:type="dxa"/>
            <w:shd w:val="clear" w:color="auto" w:fill="EEF4F2"/>
            <w:tcMar>
              <w:top w:w="60" w:type="dxa"/>
              <w:left w:w="110" w:type="dxa"/>
              <w:bottom w:w="60" w:type="dxa"/>
              <w:right w:w="110" w:type="dxa"/>
            </w:tcMar>
            <w:vAlign w:val="center"/>
          </w:tcPr>
          <w:p w14:paraId="492DF8AC"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Dynamic Targeting</w:t>
            </w:r>
          </w:p>
        </w:tc>
        <w:tc>
          <w:tcPr>
            <w:tcW w:w="1700" w:type="dxa"/>
            <w:shd w:val="clear" w:color="auto" w:fill="EEF4F2"/>
            <w:tcMar>
              <w:top w:w="60" w:type="dxa"/>
              <w:left w:w="110" w:type="dxa"/>
              <w:bottom w:w="60" w:type="dxa"/>
              <w:right w:w="110" w:type="dxa"/>
            </w:tcMar>
            <w:vAlign w:val="center"/>
          </w:tcPr>
          <w:p w14:paraId="03A9BD6C"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−0.108</w:t>
            </w:r>
          </w:p>
        </w:tc>
        <w:tc>
          <w:tcPr>
            <w:tcW w:w="1700" w:type="dxa"/>
            <w:shd w:val="clear" w:color="auto" w:fill="EEF4F2"/>
            <w:tcMar>
              <w:top w:w="60" w:type="dxa"/>
              <w:left w:w="110" w:type="dxa"/>
              <w:bottom w:w="60" w:type="dxa"/>
              <w:right w:w="110" w:type="dxa"/>
            </w:tcMar>
            <w:vAlign w:val="center"/>
          </w:tcPr>
          <w:p w14:paraId="21D49108"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0.248</w:t>
            </w:r>
          </w:p>
        </w:tc>
        <w:tc>
          <w:tcPr>
            <w:tcW w:w="1600" w:type="dxa"/>
            <w:shd w:val="clear" w:color="auto" w:fill="EEF4F2"/>
            <w:tcMar>
              <w:top w:w="60" w:type="dxa"/>
              <w:left w:w="110" w:type="dxa"/>
              <w:bottom w:w="60" w:type="dxa"/>
              <w:right w:w="110" w:type="dxa"/>
            </w:tcMar>
            <w:vAlign w:val="center"/>
          </w:tcPr>
          <w:p w14:paraId="72CCAD9B"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4,725</w:t>
            </w:r>
          </w:p>
        </w:tc>
      </w:tr>
      <w:tr w:rsidR="00BC1555" w14:paraId="32048403" w14:textId="77777777">
        <w:tc>
          <w:tcPr>
            <w:tcW w:w="1500" w:type="dxa"/>
            <w:tcMar>
              <w:top w:w="60" w:type="dxa"/>
              <w:left w:w="110" w:type="dxa"/>
              <w:bottom w:w="60" w:type="dxa"/>
              <w:right w:w="110" w:type="dxa"/>
            </w:tcMar>
            <w:vAlign w:val="center"/>
          </w:tcPr>
          <w:p w14:paraId="25A6648E"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HS-01</w:t>
            </w:r>
          </w:p>
        </w:tc>
        <w:tc>
          <w:tcPr>
            <w:tcW w:w="2860" w:type="dxa"/>
            <w:tcMar>
              <w:top w:w="60" w:type="dxa"/>
              <w:left w:w="110" w:type="dxa"/>
              <w:bottom w:w="60" w:type="dxa"/>
              <w:right w:w="110" w:type="dxa"/>
            </w:tcMar>
            <w:vAlign w:val="center"/>
          </w:tcPr>
          <w:p w14:paraId="7B6C537B"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Dynamic Targeting</w:t>
            </w:r>
          </w:p>
        </w:tc>
        <w:tc>
          <w:tcPr>
            <w:tcW w:w="1700" w:type="dxa"/>
            <w:tcMar>
              <w:top w:w="60" w:type="dxa"/>
              <w:left w:w="110" w:type="dxa"/>
              <w:bottom w:w="60" w:type="dxa"/>
              <w:right w:w="110" w:type="dxa"/>
            </w:tcMar>
            <w:vAlign w:val="center"/>
          </w:tcPr>
          <w:p w14:paraId="05CB82DC"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−0.109</w:t>
            </w:r>
          </w:p>
        </w:tc>
        <w:tc>
          <w:tcPr>
            <w:tcW w:w="1700" w:type="dxa"/>
            <w:tcMar>
              <w:top w:w="60" w:type="dxa"/>
              <w:left w:w="110" w:type="dxa"/>
              <w:bottom w:w="60" w:type="dxa"/>
              <w:right w:w="110" w:type="dxa"/>
            </w:tcMar>
            <w:vAlign w:val="center"/>
          </w:tcPr>
          <w:p w14:paraId="6B67D80F"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0.244</w:t>
            </w:r>
          </w:p>
        </w:tc>
        <w:tc>
          <w:tcPr>
            <w:tcW w:w="1600" w:type="dxa"/>
            <w:tcMar>
              <w:top w:w="60" w:type="dxa"/>
              <w:left w:w="110" w:type="dxa"/>
              <w:bottom w:w="60" w:type="dxa"/>
              <w:right w:w="110" w:type="dxa"/>
            </w:tcMar>
            <w:vAlign w:val="center"/>
          </w:tcPr>
          <w:p w14:paraId="09D8A2C0"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2,352</w:t>
            </w:r>
          </w:p>
        </w:tc>
      </w:tr>
      <w:tr w:rsidR="00BC1555" w14:paraId="7BEE62ED" w14:textId="77777777">
        <w:tc>
          <w:tcPr>
            <w:tcW w:w="1500" w:type="dxa"/>
            <w:shd w:val="clear" w:color="auto" w:fill="EEF4F2"/>
            <w:tcMar>
              <w:top w:w="60" w:type="dxa"/>
              <w:left w:w="110" w:type="dxa"/>
              <w:bottom w:w="60" w:type="dxa"/>
              <w:right w:w="110" w:type="dxa"/>
            </w:tcMar>
            <w:vAlign w:val="center"/>
          </w:tcPr>
          <w:p w14:paraId="2A6EA280"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W-01</w:t>
            </w:r>
          </w:p>
        </w:tc>
        <w:tc>
          <w:tcPr>
            <w:tcW w:w="2860" w:type="dxa"/>
            <w:shd w:val="clear" w:color="auto" w:fill="EEF4F2"/>
            <w:tcMar>
              <w:top w:w="60" w:type="dxa"/>
              <w:left w:w="110" w:type="dxa"/>
              <w:bottom w:w="60" w:type="dxa"/>
              <w:right w:w="110" w:type="dxa"/>
            </w:tcMar>
            <w:vAlign w:val="center"/>
          </w:tcPr>
          <w:p w14:paraId="715CE14A"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Western</w:t>
            </w:r>
          </w:p>
        </w:tc>
        <w:tc>
          <w:tcPr>
            <w:tcW w:w="1700" w:type="dxa"/>
            <w:shd w:val="clear" w:color="auto" w:fill="EEF4F2"/>
            <w:tcMar>
              <w:top w:w="60" w:type="dxa"/>
              <w:left w:w="110" w:type="dxa"/>
              <w:bottom w:w="60" w:type="dxa"/>
              <w:right w:w="110" w:type="dxa"/>
            </w:tcMar>
            <w:vAlign w:val="center"/>
          </w:tcPr>
          <w:p w14:paraId="133BB717"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−0.118</w:t>
            </w:r>
          </w:p>
        </w:tc>
        <w:tc>
          <w:tcPr>
            <w:tcW w:w="1700" w:type="dxa"/>
            <w:shd w:val="clear" w:color="auto" w:fill="EEF4F2"/>
            <w:tcMar>
              <w:top w:w="60" w:type="dxa"/>
              <w:left w:w="110" w:type="dxa"/>
              <w:bottom w:w="60" w:type="dxa"/>
              <w:right w:w="110" w:type="dxa"/>
            </w:tcMar>
            <w:vAlign w:val="center"/>
          </w:tcPr>
          <w:p w14:paraId="74EBB3B6"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0.254</w:t>
            </w:r>
          </w:p>
        </w:tc>
        <w:tc>
          <w:tcPr>
            <w:tcW w:w="1600" w:type="dxa"/>
            <w:shd w:val="clear" w:color="auto" w:fill="EEF4F2"/>
            <w:tcMar>
              <w:top w:w="60" w:type="dxa"/>
              <w:left w:w="110" w:type="dxa"/>
              <w:bottom w:w="60" w:type="dxa"/>
              <w:right w:w="110" w:type="dxa"/>
            </w:tcMar>
            <w:vAlign w:val="center"/>
          </w:tcPr>
          <w:p w14:paraId="115A3C77"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840</w:t>
            </w:r>
          </w:p>
        </w:tc>
      </w:tr>
      <w:tr w:rsidR="00BC1555" w14:paraId="1B17333D" w14:textId="77777777">
        <w:tc>
          <w:tcPr>
            <w:tcW w:w="1500" w:type="dxa"/>
            <w:tcMar>
              <w:top w:w="60" w:type="dxa"/>
              <w:left w:w="110" w:type="dxa"/>
              <w:bottom w:w="60" w:type="dxa"/>
              <w:right w:w="110" w:type="dxa"/>
            </w:tcMar>
            <w:vAlign w:val="center"/>
          </w:tcPr>
          <w:p w14:paraId="7F217A98"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HV-01</w:t>
            </w:r>
          </w:p>
        </w:tc>
        <w:tc>
          <w:tcPr>
            <w:tcW w:w="2860" w:type="dxa"/>
            <w:tcMar>
              <w:top w:w="60" w:type="dxa"/>
              <w:left w:w="110" w:type="dxa"/>
              <w:bottom w:w="60" w:type="dxa"/>
              <w:right w:w="110" w:type="dxa"/>
            </w:tcMar>
            <w:vAlign w:val="center"/>
          </w:tcPr>
          <w:p w14:paraId="4269245C"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Dynamic Targeting</w:t>
            </w:r>
          </w:p>
        </w:tc>
        <w:tc>
          <w:tcPr>
            <w:tcW w:w="1700" w:type="dxa"/>
            <w:tcMar>
              <w:top w:w="60" w:type="dxa"/>
              <w:left w:w="110" w:type="dxa"/>
              <w:bottom w:w="60" w:type="dxa"/>
              <w:right w:w="110" w:type="dxa"/>
            </w:tcMar>
            <w:vAlign w:val="center"/>
          </w:tcPr>
          <w:p w14:paraId="56A4C319"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−0.118</w:t>
            </w:r>
          </w:p>
        </w:tc>
        <w:tc>
          <w:tcPr>
            <w:tcW w:w="1700" w:type="dxa"/>
            <w:tcMar>
              <w:top w:w="60" w:type="dxa"/>
              <w:left w:w="110" w:type="dxa"/>
              <w:bottom w:w="60" w:type="dxa"/>
              <w:right w:w="110" w:type="dxa"/>
            </w:tcMar>
            <w:vAlign w:val="center"/>
          </w:tcPr>
          <w:p w14:paraId="09DD8295"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0.254</w:t>
            </w:r>
          </w:p>
        </w:tc>
        <w:tc>
          <w:tcPr>
            <w:tcW w:w="1600" w:type="dxa"/>
            <w:tcMar>
              <w:top w:w="60" w:type="dxa"/>
              <w:left w:w="110" w:type="dxa"/>
              <w:bottom w:w="60" w:type="dxa"/>
              <w:right w:w="110" w:type="dxa"/>
            </w:tcMar>
            <w:vAlign w:val="center"/>
          </w:tcPr>
          <w:p w14:paraId="11E74235"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2,100</w:t>
            </w:r>
          </w:p>
        </w:tc>
      </w:tr>
      <w:tr w:rsidR="00BC1555" w14:paraId="23A87BB5" w14:textId="77777777">
        <w:tc>
          <w:tcPr>
            <w:tcW w:w="1500" w:type="dxa"/>
            <w:shd w:val="clear" w:color="auto" w:fill="EEF4F2"/>
            <w:tcMar>
              <w:top w:w="60" w:type="dxa"/>
              <w:left w:w="110" w:type="dxa"/>
              <w:bottom w:w="60" w:type="dxa"/>
              <w:right w:w="110" w:type="dxa"/>
            </w:tcMar>
            <w:vAlign w:val="center"/>
          </w:tcPr>
          <w:p w14:paraId="0BAECDB4" w14:textId="77777777" w:rsidR="00DB0109" w:rsidRPr="00352C77" w:rsidRDefault="007B6AAF" w:rsidP="00A623D5">
            <w:pPr>
              <w:spacing w:line="360" w:lineRule="auto"/>
              <w:rPr>
                <w:rFonts w:ascii="Times New Roman" w:hAnsi="Times New Roman" w:cs="Times New Roman"/>
              </w:rPr>
            </w:pPr>
            <w:r>
              <w:rPr>
                <w:rFonts w:ascii="Times New Roman" w:hAnsi="Times New Roman" w:cs="Times New Roman"/>
                <w:color w:val="000000"/>
                <w:sz w:val="20"/>
                <w:szCs w:val="20"/>
              </w:rPr>
              <w:t>E-01</w:t>
            </w:r>
          </w:p>
        </w:tc>
        <w:tc>
          <w:tcPr>
            <w:tcW w:w="2860" w:type="dxa"/>
            <w:shd w:val="clear" w:color="auto" w:fill="EEF4F2"/>
            <w:tcMar>
              <w:top w:w="60" w:type="dxa"/>
              <w:left w:w="110" w:type="dxa"/>
              <w:bottom w:w="60" w:type="dxa"/>
              <w:right w:w="110" w:type="dxa"/>
            </w:tcMar>
            <w:vAlign w:val="center"/>
          </w:tcPr>
          <w:p w14:paraId="4C161D53"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Eastern</w:t>
            </w:r>
          </w:p>
        </w:tc>
        <w:tc>
          <w:tcPr>
            <w:tcW w:w="1700" w:type="dxa"/>
            <w:shd w:val="clear" w:color="auto" w:fill="EEF4F2"/>
            <w:tcMar>
              <w:top w:w="60" w:type="dxa"/>
              <w:left w:w="110" w:type="dxa"/>
              <w:bottom w:w="60" w:type="dxa"/>
              <w:right w:w="110" w:type="dxa"/>
            </w:tcMar>
            <w:vAlign w:val="center"/>
          </w:tcPr>
          <w:p w14:paraId="076FD611"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−0.133</w:t>
            </w:r>
          </w:p>
        </w:tc>
        <w:tc>
          <w:tcPr>
            <w:tcW w:w="1700" w:type="dxa"/>
            <w:shd w:val="clear" w:color="auto" w:fill="EEF4F2"/>
            <w:tcMar>
              <w:top w:w="60" w:type="dxa"/>
              <w:left w:w="110" w:type="dxa"/>
              <w:bottom w:w="60" w:type="dxa"/>
              <w:right w:w="110" w:type="dxa"/>
            </w:tcMar>
            <w:vAlign w:val="center"/>
          </w:tcPr>
          <w:p w14:paraId="687406A4"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0.263</w:t>
            </w:r>
          </w:p>
        </w:tc>
        <w:tc>
          <w:tcPr>
            <w:tcW w:w="1600" w:type="dxa"/>
            <w:shd w:val="clear" w:color="auto" w:fill="EEF4F2"/>
            <w:tcMar>
              <w:top w:w="60" w:type="dxa"/>
              <w:left w:w="110" w:type="dxa"/>
              <w:bottom w:w="60" w:type="dxa"/>
              <w:right w:w="110" w:type="dxa"/>
            </w:tcMar>
            <w:vAlign w:val="center"/>
          </w:tcPr>
          <w:p w14:paraId="462FB1D2" w14:textId="77777777" w:rsidR="00DB0109" w:rsidRPr="00352C77" w:rsidRDefault="007B6AAF" w:rsidP="00A623D5">
            <w:pPr>
              <w:spacing w:line="360" w:lineRule="auto"/>
              <w:jc w:val="center"/>
              <w:rPr>
                <w:rFonts w:ascii="Times New Roman" w:hAnsi="Times New Roman" w:cs="Times New Roman"/>
              </w:rPr>
            </w:pPr>
            <w:r>
              <w:rPr>
                <w:rFonts w:ascii="Times New Roman" w:hAnsi="Times New Roman" w:cs="Times New Roman"/>
                <w:color w:val="000000"/>
                <w:sz w:val="20"/>
                <w:szCs w:val="20"/>
              </w:rPr>
              <w:t>3,045</w:t>
            </w:r>
          </w:p>
        </w:tc>
      </w:tr>
    </w:tbl>
    <w:p w14:paraId="6F064031" w14:textId="77777777" w:rsidR="00352C77" w:rsidRPr="00352C77" w:rsidRDefault="007B6AAF" w:rsidP="00A623D5">
      <w:pPr>
        <w:keepNext/>
        <w:spacing w:before="120" w:after="40" w:line="360" w:lineRule="auto"/>
        <w:jc w:val="center"/>
        <w:rPr>
          <w:rFonts w:ascii="Times New Roman" w:hAnsi="Times New Roman" w:cs="Times New Roman"/>
        </w:rPr>
      </w:pPr>
      <w:r>
        <w:rPr>
          <w:rFonts w:ascii="Times New Roman" w:hAnsi="Times New Roman" w:cs="Times New Roman"/>
          <w:noProof/>
        </w:rPr>
        <w:drawing>
          <wp:inline distT="0" distB="0" distL="0" distR="0" wp14:anchorId="1D139555" wp14:editId="13548D89">
            <wp:extent cx="6460903" cy="3200400"/>
            <wp:effectExtent l="0" t="0" r="0" b="0"/>
            <wp:docPr id="527411578" name="Figure 18: Mean NDVI by station" descr="Figure 18: Mean NDVI by station" title="Figure 18: Mean NDVI by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9"/>
                    <a:srcRect/>
                    <a:stretch>
                      <a:fillRect/>
                    </a:stretch>
                  </pic:blipFill>
                  <pic:spPr bwMode="auto">
                    <a:xfrm>
                      <a:off x="0" y="0"/>
                      <a:ext cx="6495010" cy="3217295"/>
                    </a:xfrm>
                    <a:prstGeom prst="rect">
                      <a:avLst/>
                    </a:prstGeom>
                  </pic:spPr>
                </pic:pic>
              </a:graphicData>
            </a:graphic>
          </wp:inline>
        </w:drawing>
      </w:r>
    </w:p>
    <w:p w14:paraId="5DD98951" w14:textId="2372F5FC" w:rsidR="00DB0109" w:rsidRPr="00352C77" w:rsidRDefault="00352C77" w:rsidP="00A623D5">
      <w:pPr>
        <w:pStyle w:val="Caption"/>
        <w:jc w:val="center"/>
        <w:rPr>
          <w:rFonts w:ascii="Times New Roman" w:hAnsi="Times New Roman" w:cs="Times New Roman"/>
        </w:rPr>
      </w:pPr>
      <w:bookmarkStart w:id="147" w:name="_Toc237884380"/>
      <w:r>
        <w:rPr>
          <w:rFonts w:ascii="Times New Roman" w:hAnsi="Times New Roman" w:cs="Times New Roman"/>
        </w:rPr>
        <w:t xml:space="preserve">Figure </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402E51">
        <w:rPr>
          <w:rFonts w:ascii="Times New Roman" w:hAnsi="Times New Roman" w:cs="Times New Roman"/>
          <w:noProof/>
        </w:rPr>
        <w:t>19</w:t>
      </w:r>
      <w:r>
        <w:rPr>
          <w:rFonts w:ascii="Times New Roman" w:hAnsi="Times New Roman" w:cs="Times New Roman"/>
        </w:rPr>
        <w:fldChar w:fldCharType="end"/>
      </w:r>
      <w:r>
        <w:rPr>
          <w:rFonts w:ascii="Times New Roman" w:hAnsi="Times New Roman" w:cs="Times New Roman"/>
        </w:rPr>
        <w:t>: Mean NDVI by station</w:t>
      </w:r>
      <w:bookmarkEnd w:id="147"/>
    </w:p>
    <w:p w14:paraId="7D75C974"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Figure 19 confirms the regional patterns. The three Southern stations (S-01, S-02, S-03) all rank in the upper half by mean NDVI, with S-03 and S-01 positive. The Eastern stations span a wide range, from E-03 (near zero) to E-01 (most negative), indicating substantial within-region </w:t>
      </w:r>
      <w:r>
        <w:rPr>
          <w:rFonts w:ascii="Times New Roman" w:hAnsi="Times New Roman" w:cs="Times New Roman"/>
        </w:rPr>
        <w:lastRenderedPageBreak/>
        <w:t>heterogeneity. The Dynamic Targeting stations show a consistent pattern of negative NDVI, with NW-01 least negative (−0.020) and HV-01 and HS-01 most negative (−0.118 and −0.109), suggesting that this large area maintains relatively uniform open-water-dominated conditions.</w:t>
      </w:r>
    </w:p>
    <w:p w14:paraId="2ABE6FF6" w14:textId="77777777" w:rsidR="00352C77" w:rsidRPr="00352C77" w:rsidRDefault="007B6AAF" w:rsidP="00A623D5">
      <w:pPr>
        <w:keepNext/>
        <w:spacing w:before="120" w:after="40" w:line="360" w:lineRule="auto"/>
        <w:jc w:val="center"/>
        <w:rPr>
          <w:rFonts w:ascii="Times New Roman" w:hAnsi="Times New Roman" w:cs="Times New Roman"/>
        </w:rPr>
      </w:pPr>
      <w:r>
        <w:rPr>
          <w:rFonts w:ascii="Times New Roman" w:hAnsi="Times New Roman" w:cs="Times New Roman"/>
          <w:noProof/>
        </w:rPr>
        <w:drawing>
          <wp:inline distT="0" distB="0" distL="0" distR="0" wp14:anchorId="2DC68854" wp14:editId="3468C3E6">
            <wp:extent cx="5689600" cy="4710459"/>
            <wp:effectExtent l="0" t="0" r="6350" b="0"/>
            <wp:docPr id="1324677333" name="Figure 19: Spatial distribution of NDVI values" descr="Figure 19: Spatial distribution of NDVI values" title="Figure 19: Spatial distribution of NDVI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0"/>
                    <a:srcRect/>
                    <a:stretch>
                      <a:fillRect/>
                    </a:stretch>
                  </pic:blipFill>
                  <pic:spPr bwMode="auto">
                    <a:xfrm>
                      <a:off x="0" y="0"/>
                      <a:ext cx="5713878" cy="4730559"/>
                    </a:xfrm>
                    <a:prstGeom prst="rect">
                      <a:avLst/>
                    </a:prstGeom>
                  </pic:spPr>
                </pic:pic>
              </a:graphicData>
            </a:graphic>
          </wp:inline>
        </w:drawing>
      </w:r>
    </w:p>
    <w:p w14:paraId="66D9FDEA" w14:textId="359FEE01" w:rsidR="00DB0109" w:rsidRPr="00352C77" w:rsidRDefault="00352C77" w:rsidP="00A623D5">
      <w:pPr>
        <w:pStyle w:val="Caption"/>
        <w:jc w:val="center"/>
        <w:rPr>
          <w:rFonts w:ascii="Times New Roman" w:hAnsi="Times New Roman" w:cs="Times New Roman"/>
        </w:rPr>
      </w:pPr>
      <w:bookmarkStart w:id="148" w:name="_Toc237884381"/>
      <w:r>
        <w:rPr>
          <w:rFonts w:ascii="Times New Roman" w:hAnsi="Times New Roman" w:cs="Times New Roman"/>
        </w:rPr>
        <w:t xml:space="preserve">Figure </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402E51">
        <w:rPr>
          <w:rFonts w:ascii="Times New Roman" w:hAnsi="Times New Roman" w:cs="Times New Roman"/>
          <w:noProof/>
        </w:rPr>
        <w:t>20</w:t>
      </w:r>
      <w:r>
        <w:rPr>
          <w:rFonts w:ascii="Times New Roman" w:hAnsi="Times New Roman" w:cs="Times New Roman"/>
        </w:rPr>
        <w:fldChar w:fldCharType="end"/>
      </w:r>
      <w:r>
        <w:rPr>
          <w:rFonts w:ascii="Times New Roman" w:hAnsi="Times New Roman" w:cs="Times New Roman"/>
        </w:rPr>
        <w:t>: Spatial distribution of NDVI values</w:t>
      </w:r>
      <w:bookmarkEnd w:id="148"/>
    </w:p>
    <w:p w14:paraId="53EEFA22"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Figure 20 maps the spatial distribution of mean NDVI across the lake by longitude and latitude. The warmer-coloured points concentrated in the lower-latitude, southern portion of the lake correspond to the higher-NDVI Southern stations, while the cooler points reinforce the open-water dominance elsewhere, providing a geographic confirmation of the hotspot pattern.</w:t>
      </w:r>
    </w:p>
    <w:p w14:paraId="11FEDB6C" w14:textId="77777777" w:rsidR="00DB0109" w:rsidRPr="00352C77" w:rsidRDefault="007B6AAF" w:rsidP="00A623D5">
      <w:pPr>
        <w:pStyle w:val="Heading2"/>
        <w:spacing w:line="360" w:lineRule="auto"/>
        <w:rPr>
          <w:rFonts w:ascii="Times New Roman" w:hAnsi="Times New Roman" w:cs="Times New Roman"/>
        </w:rPr>
      </w:pPr>
      <w:bookmarkStart w:id="149" w:name="_Toc237884338"/>
      <w:r>
        <w:rPr>
          <w:rFonts w:ascii="Times New Roman" w:hAnsi="Times New Roman" w:cs="Times New Roman"/>
        </w:rPr>
        <w:t>4.10 NDWI Distribution by Zone Type</w:t>
      </w:r>
      <w:bookmarkEnd w:id="149"/>
    </w:p>
    <w:p w14:paraId="79347561"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The NDWI analysis complements the NDVI findings from a water-specific perspective. The Very High Variation Sudd Zone recorded the highest mean NDWI (0.254), followed by the High Seasonal Infestation Variation (0.248) and Excessive Weed Infestation Hotspot (0.244) zones. </w:t>
      </w:r>
      <w:r>
        <w:rPr>
          <w:rFonts w:ascii="Times New Roman" w:hAnsi="Times New Roman" w:cs="Times New Roman"/>
        </w:rPr>
        <w:lastRenderedPageBreak/>
        <w:t>Despite their classification as vegetation-prone, these zones exhibit high NDWI because they contain large areas of open water interspersed with vegetation. The Open Water zone had the lowest mean NDWI (0.142), which initially appears counter-intuitive but reflects the presence of turbid water, algae and submerged vegetation that reduce the NDWI signal in some open-water pixels.</w:t>
      </w:r>
    </w:p>
    <w:p w14:paraId="6C87FE73" w14:textId="77777777" w:rsidR="00352C77" w:rsidRPr="00352C77" w:rsidRDefault="007B6AAF" w:rsidP="00A623D5">
      <w:pPr>
        <w:keepNext/>
        <w:spacing w:before="120" w:after="40" w:line="360" w:lineRule="auto"/>
        <w:jc w:val="center"/>
        <w:rPr>
          <w:rFonts w:ascii="Times New Roman" w:hAnsi="Times New Roman" w:cs="Times New Roman"/>
        </w:rPr>
      </w:pPr>
      <w:r>
        <w:rPr>
          <w:rFonts w:ascii="Times New Roman" w:hAnsi="Times New Roman" w:cs="Times New Roman"/>
          <w:noProof/>
        </w:rPr>
        <w:drawing>
          <wp:inline distT="0" distB="0" distL="0" distR="0" wp14:anchorId="3230300A" wp14:editId="7DAFAF2B">
            <wp:extent cx="6509201" cy="3194050"/>
            <wp:effectExtent l="0" t="0" r="6350" b="6350"/>
            <wp:docPr id="1333306391" name="Figure 20: NDWI distribution by zone type (box plot)" descr="Figure 20: NDWI distribution by zone type (box plot)" title="Figure 20: NDWI distribution by zone type (box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1"/>
                    <a:srcRect/>
                    <a:stretch>
                      <a:fillRect/>
                    </a:stretch>
                  </pic:blipFill>
                  <pic:spPr bwMode="auto">
                    <a:xfrm>
                      <a:off x="0" y="0"/>
                      <a:ext cx="6552046" cy="3215074"/>
                    </a:xfrm>
                    <a:prstGeom prst="rect">
                      <a:avLst/>
                    </a:prstGeom>
                  </pic:spPr>
                </pic:pic>
              </a:graphicData>
            </a:graphic>
          </wp:inline>
        </w:drawing>
      </w:r>
    </w:p>
    <w:p w14:paraId="3839777E" w14:textId="72294153" w:rsidR="00DB0109" w:rsidRPr="007E6326" w:rsidRDefault="00352C77" w:rsidP="00A623D5">
      <w:pPr>
        <w:pStyle w:val="Caption"/>
        <w:jc w:val="center"/>
        <w:rPr>
          <w:rFonts w:ascii="Times New Roman" w:hAnsi="Times New Roman" w:cs="Times New Roman"/>
        </w:rPr>
      </w:pPr>
      <w:bookmarkStart w:id="150" w:name="_Toc237884382"/>
      <w:r>
        <w:rPr>
          <w:rFonts w:ascii="Times New Roman" w:hAnsi="Times New Roman" w:cs="Times New Roman"/>
        </w:rPr>
        <w:t xml:space="preserve">Figure </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402E51">
        <w:rPr>
          <w:rFonts w:ascii="Times New Roman" w:hAnsi="Times New Roman" w:cs="Times New Roman"/>
          <w:noProof/>
        </w:rPr>
        <w:t>21</w:t>
      </w:r>
      <w:r>
        <w:rPr>
          <w:rFonts w:ascii="Times New Roman" w:hAnsi="Times New Roman" w:cs="Times New Roman"/>
        </w:rPr>
        <w:fldChar w:fldCharType="end"/>
      </w:r>
      <w:r>
        <w:rPr>
          <w:rFonts w:ascii="Times New Roman" w:hAnsi="Times New Roman" w:cs="Times New Roman"/>
        </w:rPr>
        <w:t>: NDWI distribution by zone type (box plot)</w:t>
      </w:r>
      <w:bookmarkEnd w:id="150"/>
    </w:p>
    <w:p w14:paraId="0FA9DE0A"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The NDWI box plot in Figure 21 mirrors the NDVI box plot, with the Open Water and No Weed Infestation Control zones again showing the widest ranges, consistent with their high internal heterogeneity.</w:t>
      </w:r>
    </w:p>
    <w:p w14:paraId="02B7E121" w14:textId="77777777" w:rsidR="00DB0109" w:rsidRPr="00352C77" w:rsidRDefault="007B6AAF" w:rsidP="00A623D5">
      <w:pPr>
        <w:spacing w:before="120" w:after="40" w:line="36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57E00605" wp14:editId="4853E254">
            <wp:extent cx="5780980" cy="3441700"/>
            <wp:effectExtent l="0" t="0" r="0" b="6350"/>
            <wp:docPr id="727185444" name="Figure 21: Overall NDVI value distribution (histogram)" descr="Figure 21: Overall NDVI value distribution (histogram)" title="Figure 21: Overall NDVI value distribution (hist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2"/>
                    <a:srcRect/>
                    <a:stretch>
                      <a:fillRect/>
                    </a:stretch>
                  </pic:blipFill>
                  <pic:spPr bwMode="auto">
                    <a:xfrm>
                      <a:off x="0" y="0"/>
                      <a:ext cx="5803760" cy="3455262"/>
                    </a:xfrm>
                    <a:prstGeom prst="rect">
                      <a:avLst/>
                    </a:prstGeom>
                  </pic:spPr>
                </pic:pic>
              </a:graphicData>
            </a:graphic>
          </wp:inline>
        </w:drawing>
      </w:r>
    </w:p>
    <w:p w14:paraId="63446B01" w14:textId="3097FCF3" w:rsidR="00352C77" w:rsidRPr="00352C77" w:rsidRDefault="00352C77" w:rsidP="00A623D5">
      <w:pPr>
        <w:pStyle w:val="Caption"/>
        <w:jc w:val="center"/>
        <w:rPr>
          <w:rFonts w:ascii="Times New Roman" w:hAnsi="Times New Roman" w:cs="Times New Roman"/>
        </w:rPr>
      </w:pPr>
      <w:bookmarkStart w:id="151" w:name="_Toc237884383"/>
      <w:r>
        <w:rPr>
          <w:rFonts w:ascii="Times New Roman" w:hAnsi="Times New Roman" w:cs="Times New Roman"/>
        </w:rPr>
        <w:t xml:space="preserve">Figure </w:t>
      </w:r>
      <w:r>
        <w:rPr>
          <w:rFonts w:ascii="Times New Roman" w:hAnsi="Times New Roman" w:cs="Times New Roman"/>
        </w:rPr>
        <w:fldChar w:fldCharType="begin"/>
      </w:r>
      <w:r>
        <w:rPr>
          <w:rFonts w:ascii="Times New Roman" w:hAnsi="Times New Roman" w:cs="Times New Roman"/>
        </w:rPr>
        <w:instrText xml:space="preserve"> SEQ Figure \* ARABIC </w:instrText>
      </w:r>
      <w:r>
        <w:rPr>
          <w:rFonts w:ascii="Times New Roman" w:hAnsi="Times New Roman" w:cs="Times New Roman"/>
        </w:rPr>
        <w:fldChar w:fldCharType="separate"/>
      </w:r>
      <w:r w:rsidR="00402E51">
        <w:rPr>
          <w:rFonts w:ascii="Times New Roman" w:hAnsi="Times New Roman" w:cs="Times New Roman"/>
          <w:noProof/>
        </w:rPr>
        <w:t>22</w:t>
      </w:r>
      <w:r>
        <w:rPr>
          <w:rFonts w:ascii="Times New Roman" w:hAnsi="Times New Roman" w:cs="Times New Roman"/>
        </w:rPr>
        <w:fldChar w:fldCharType="end"/>
      </w:r>
      <w:r>
        <w:rPr>
          <w:rFonts w:ascii="Times New Roman" w:hAnsi="Times New Roman" w:cs="Times New Roman"/>
        </w:rPr>
        <w:t>: Overall NDVI value distribution (histogram)</w:t>
      </w:r>
      <w:bookmarkEnd w:id="151"/>
    </w:p>
    <w:p w14:paraId="52C9F229"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Figure 22 shows the overall NDVI distribution, which is strongly concentrated around slightly negative values with a long right-hand tail extending towards 0.8. This shape confirms that the lake surface is overwhelmingly open water, while the sparse but real tail of high-NDVI pixels represents the localised dense-vegetation patches that constitute the weed hotspots.</w:t>
      </w:r>
    </w:p>
    <w:p w14:paraId="285BF5D9" w14:textId="77777777" w:rsidR="00DB0109" w:rsidRPr="00352C77" w:rsidRDefault="007B6AAF" w:rsidP="00A623D5">
      <w:pPr>
        <w:pStyle w:val="Heading2"/>
        <w:spacing w:line="360" w:lineRule="auto"/>
        <w:rPr>
          <w:rFonts w:ascii="Times New Roman" w:hAnsi="Times New Roman" w:cs="Times New Roman"/>
        </w:rPr>
      </w:pPr>
      <w:bookmarkStart w:id="152" w:name="_Toc237884339"/>
      <w:r>
        <w:rPr>
          <w:rFonts w:ascii="Times New Roman" w:hAnsi="Times New Roman" w:cs="Times New Roman"/>
        </w:rPr>
        <w:t>4.11 Discussion of Key Findings</w:t>
      </w:r>
      <w:bookmarkEnd w:id="152"/>
    </w:p>
    <w:p w14:paraId="6AF34F56"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The results reveal a complex and dynamic picture of aquatic weed distribution on Lake Wamala. The first key finding is that the vast majority of the lake (95.2% of pixels) is open water or low vegetation, implying that excessive weed infestation is localised rather than lake-wide. Nonetheless, the 3.5% of pixels classified as high vegetation (1,060 pixels) and the 1.3% classified as moderate vegetation (405 pixels) remain significant when scaled to the lake’s surface area of approximately 250 km²; if the sample is representative, these proportions translate to roughly 8.75 km² of dense vegetation and 3.25 km² of moderate vegetation, a substantial area capable of affecting navigation, fishing and water quality.</w:t>
      </w:r>
    </w:p>
    <w:p w14:paraId="1337775A"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The second key finding is strong spatial heterogeneity. The Southern region consistently emerges as the most vegetation-rich area, with the highest mean NDVI, the highest proportion of high-</w:t>
      </w:r>
      <w:r>
        <w:rPr>
          <w:rFonts w:ascii="Times New Roman" w:hAnsi="Times New Roman" w:cs="Times New Roman"/>
        </w:rPr>
        <w:lastRenderedPageBreak/>
        <w:t>vegetation pixels (12.02%) and the two most vegetation-dominated stations (S-03 and S-01). This pattern is likely driven by nutrient-rich runoff from agricultural areas (notably phosphorus and nitrogen), shallower bathymetry that favours submerged and emergent plants, and prevailing winds that concentrate floating vegetation in southern bays and inlets.</w:t>
      </w:r>
    </w:p>
    <w:p w14:paraId="51EA7AC1"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The third key finding is the marked temporal variability between 2017, 2022 and 2025. The sharp decline in NDVI from 2017 to 2022 across most zones points to a major ecological shift or management intervention during this period, consistent with the 2020–2023 La Niña-related </w:t>
      </w:r>
      <w:proofErr w:type="gramStart"/>
      <w:r>
        <w:rPr>
          <w:rFonts w:ascii="Times New Roman" w:hAnsi="Times New Roman" w:cs="Times New Roman"/>
        </w:rPr>
        <w:t>high water</w:t>
      </w:r>
      <w:proofErr w:type="gramEnd"/>
      <w:r>
        <w:rPr>
          <w:rFonts w:ascii="Times New Roman" w:hAnsi="Times New Roman" w:cs="Times New Roman"/>
        </w:rPr>
        <w:t xml:space="preserve"> levels that may have submerged vegetation and raised turbidity. The partial recovery by 2025 indicates that the system is resilient and can return towards earlier vegetation states, though recovery is incomplete and uneven: the Open Water zone recovered strongly (98% reduction in negativity) while the Very High Variation Sudd Zone continued to decline, suggesting that any management effort was more effective in open water than in complex vegetation zones.</w:t>
      </w:r>
    </w:p>
    <w:p w14:paraId="2B742DC2"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The fourth key finding is the strong negative correlation between NDVI and NDWI (overall r = −0.971), which validates their combined use for weed mapping. The correlation is strongest where water–vegetation boundaries are clear and weakest in highly variable zones, implying that in heterogeneous environments a single index is insufficient and the two indices should be used together for accurate mapping.</w:t>
      </w:r>
    </w:p>
    <w:p w14:paraId="230C37AE"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Taken together, these four findings describe a lake on which weed infestation is spatially concentrated, seasonally driven and climate-modulated rather than uniformly distributed and steadily worsening. That combination is what makes targeted management feasible on Lake Wamala, and it is also what makes satellite monitoring necessary, since none of the four patterns is visible from a single field survey or a lake-wide average.</w:t>
      </w:r>
    </w:p>
    <w:p w14:paraId="26C0DDA3" w14:textId="77777777" w:rsidR="00DB0109" w:rsidRPr="00352C77" w:rsidRDefault="007B6AAF" w:rsidP="00A623D5">
      <w:pPr>
        <w:pStyle w:val="Heading2"/>
        <w:spacing w:line="360" w:lineRule="auto"/>
        <w:rPr>
          <w:rFonts w:ascii="Times New Roman" w:hAnsi="Times New Roman" w:cs="Times New Roman"/>
        </w:rPr>
      </w:pPr>
      <w:bookmarkStart w:id="153" w:name="_Toc237884340"/>
      <w:r>
        <w:rPr>
          <w:rFonts w:ascii="Times New Roman" w:hAnsi="Times New Roman" w:cs="Times New Roman"/>
        </w:rPr>
        <w:t>4.12 Implications for Water Weed Management</w:t>
      </w:r>
      <w:bookmarkEnd w:id="153"/>
    </w:p>
    <w:p w14:paraId="50037E5F"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Several management implications follow. First, the concentration of vegetation hotspots in the Southern and Eastern regions indicates that interventions should be spatially targeted rather than uniform; priority areas include the Southern region (stations S-01, S-02 and S-03) and the Near Shore zone of the Eastern region (station E-03), while the Western region and most of the Dynamic Targeting area may require less intensive management. Second, the strong inter-annual variability calls for adaptive management that responds to climate conditions, emphasising prevention of </w:t>
      </w:r>
      <w:r>
        <w:rPr>
          <w:rFonts w:ascii="Times New Roman" w:hAnsi="Times New Roman" w:cs="Times New Roman"/>
        </w:rPr>
        <w:lastRenderedPageBreak/>
        <w:t>spread during high-water periods and control of established beds during stable periods. Third, the strong NDVI–NDWI correlation supports remote sensing as a cost-effective monitoring tool, with free 10-metre Sentinel-2 data enabling timely, lake-wide assessment. Fourth, the discrepancy between management-designated hotspot zones and their low spectral vegetation proportions suggests that the current management zonation should be revisited and validated against field data and updated spectral classification.</w:t>
      </w:r>
    </w:p>
    <w:p w14:paraId="3113D948" w14:textId="77777777" w:rsidR="00DB0109" w:rsidRPr="00352C77" w:rsidRDefault="007B6AAF" w:rsidP="00A623D5">
      <w:pPr>
        <w:pStyle w:val="Heading1"/>
        <w:pageBreakBefore/>
        <w:spacing w:line="360" w:lineRule="auto"/>
        <w:rPr>
          <w:rFonts w:ascii="Times New Roman" w:hAnsi="Times New Roman" w:cs="Times New Roman"/>
        </w:rPr>
      </w:pPr>
      <w:bookmarkStart w:id="154" w:name="_Toc237884341"/>
      <w:r>
        <w:rPr>
          <w:rFonts w:ascii="Times New Roman" w:hAnsi="Times New Roman" w:cs="Times New Roman"/>
        </w:rPr>
        <w:lastRenderedPageBreak/>
        <w:t>CHAPTER FIVE: SUMMARY, CONCLUSIONS AND RECOMMENDATIONS</w:t>
      </w:r>
      <w:bookmarkEnd w:id="154"/>
    </w:p>
    <w:p w14:paraId="61835FAB" w14:textId="77777777" w:rsidR="00DB0109" w:rsidRPr="00352C77" w:rsidRDefault="007B6AAF" w:rsidP="00A623D5">
      <w:pPr>
        <w:pStyle w:val="Heading2"/>
        <w:spacing w:line="360" w:lineRule="auto"/>
        <w:rPr>
          <w:rFonts w:ascii="Times New Roman" w:hAnsi="Times New Roman" w:cs="Times New Roman"/>
        </w:rPr>
      </w:pPr>
      <w:bookmarkStart w:id="155" w:name="_Toc237884342"/>
      <w:r>
        <w:rPr>
          <w:rFonts w:ascii="Times New Roman" w:hAnsi="Times New Roman" w:cs="Times New Roman"/>
        </w:rPr>
        <w:t>5.1 Summary of the Study</w:t>
      </w:r>
      <w:bookmarkEnd w:id="155"/>
    </w:p>
    <w:p w14:paraId="07FA0C06"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This study assessed the spatial distribution, temporal trends and seasonal dynamics of aquatic weed infestation on Lake Wamala, Uganda, using remote sensing based on Sentinel-2 imagery. A dataset of 30,296 pixel-level NDVI and NDWI observations was analysed, drawn from 16 ground stations across five regions and seven ecological zone types, spanning three years (2017, 2022 and 2025) and five months (January, February, March, June and September). The specific objectives were to evaluate the effectiveness of NDVI and NDWI as complementary indices for weed mapping, map the spatial distribution and temporal trends of weed cover between 2017 and 2025, and identify seasonal patterns in the vegetation and water dynamics of the lake.</w:t>
      </w:r>
    </w:p>
    <w:p w14:paraId="1EAC010C"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The analysis combined descriptive statistics, weed-cover classification using NDVI thresholds, correlation analysis and spatial–temporal trend analysis, supported by box plots, scatter plots, heatmaps, histograms and bar and line charts. The findings were interpreted in the context of local ecology, climate variability and previous research on aquatic vegetation in East African lakes.</w:t>
      </w:r>
    </w:p>
    <w:p w14:paraId="47B0EC0C" w14:textId="77777777" w:rsidR="00DB0109" w:rsidRPr="00352C77" w:rsidRDefault="007B6AAF" w:rsidP="00A623D5">
      <w:pPr>
        <w:pStyle w:val="Heading2"/>
        <w:spacing w:line="360" w:lineRule="auto"/>
        <w:rPr>
          <w:rFonts w:ascii="Times New Roman" w:hAnsi="Times New Roman" w:cs="Times New Roman"/>
        </w:rPr>
      </w:pPr>
      <w:bookmarkStart w:id="156" w:name="_Toc237884343"/>
      <w:r>
        <w:rPr>
          <w:rFonts w:ascii="Times New Roman" w:hAnsi="Times New Roman" w:cs="Times New Roman"/>
        </w:rPr>
        <w:t>5.2 Key Conclusions</w:t>
      </w:r>
      <w:bookmarkEnd w:id="156"/>
    </w:p>
    <w:p w14:paraId="695C5529"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The conclusions of this study are presented against the specific objectives set out in Section 1.3.2 and the hypotheses formulated in Section 3.9.2, taking each hypothesis and its related objective in turn.</w:t>
      </w:r>
    </w:p>
    <w:p w14:paraId="163BE6B4" w14:textId="77777777" w:rsidR="00DB0109" w:rsidRPr="00352C77" w:rsidRDefault="007B6AAF" w:rsidP="00A623D5">
      <w:pPr>
        <w:pStyle w:val="ListParagraph"/>
        <w:numPr>
          <w:ilvl w:val="0"/>
          <w:numId w:val="5"/>
        </w:numPr>
        <w:spacing w:after="100" w:line="360" w:lineRule="auto"/>
        <w:jc w:val="both"/>
        <w:rPr>
          <w:rFonts w:ascii="Times New Roman" w:hAnsi="Times New Roman" w:cs="Times New Roman"/>
        </w:rPr>
      </w:pPr>
      <w:r>
        <w:rPr>
          <w:rFonts w:ascii="Times New Roman" w:hAnsi="Times New Roman" w:cs="Times New Roman"/>
          <w:b/>
        </w:rPr>
        <w:t xml:space="preserve">Objective 1 — effectiveness of NDVI and NDWI (Hypothesis H5). </w:t>
      </w:r>
      <w:r>
        <w:rPr>
          <w:rFonts w:ascii="Times New Roman" w:hAnsi="Times New Roman" w:cs="Times New Roman"/>
        </w:rPr>
        <w:t xml:space="preserve">NDVI and NDWI are confirmed as effective and genuinely complementary indices for assessing aquatic weeds on Lake Wamala. The null form of H5 is rejected at every level of analysis: the indices are inversely correlated at r = −0.971 overall (r² = 0.94) and between −0.743 and −0.989 within individual zones. Their complementarity is weakest where it matters least, in spectrally simple open water where either index alone would separate water from vegetation, and strongest in the mixed, seasonally variable zones where shared variance falls to 55 percent. The conclusion for practice is that both indices must be computed together, since a single-index classification would fail precisely in the zones of greatest </w:t>
      </w:r>
      <w:r>
        <w:rPr>
          <w:rFonts w:ascii="Times New Roman" w:hAnsi="Times New Roman" w:cs="Times New Roman"/>
        </w:rPr>
        <w:lastRenderedPageBreak/>
        <w:t>management interest. The objective is met, subject to the qualification that neither index detects submerged vegetation, so the method assesses surface-detectable weed cover only.</w:t>
      </w:r>
    </w:p>
    <w:p w14:paraId="130E54F2" w14:textId="77777777" w:rsidR="00DB0109" w:rsidRPr="00352C77" w:rsidRDefault="007B6AAF" w:rsidP="00A623D5">
      <w:pPr>
        <w:pStyle w:val="ListParagraph"/>
        <w:numPr>
          <w:ilvl w:val="0"/>
          <w:numId w:val="5"/>
        </w:numPr>
        <w:spacing w:after="100" w:line="360" w:lineRule="auto"/>
        <w:jc w:val="both"/>
        <w:rPr>
          <w:rFonts w:ascii="Times New Roman" w:hAnsi="Times New Roman" w:cs="Times New Roman"/>
        </w:rPr>
      </w:pPr>
      <w:r>
        <w:rPr>
          <w:rFonts w:ascii="Times New Roman" w:hAnsi="Times New Roman" w:cs="Times New Roman"/>
          <w:b/>
        </w:rPr>
        <w:t xml:space="preserve">Objective 2 — spatial distribution by ecological zone (Hypothesis H1). </w:t>
      </w:r>
      <w:r>
        <w:rPr>
          <w:rFonts w:ascii="Times New Roman" w:hAnsi="Times New Roman" w:cs="Times New Roman"/>
        </w:rPr>
        <w:t xml:space="preserve">Mean NDVI differs significantly among the seven ecological zone types (Welch’s </w:t>
      </w:r>
      <w:proofErr w:type="gramStart"/>
      <w:r>
        <w:rPr>
          <w:rFonts w:ascii="Times New Roman" w:hAnsi="Times New Roman" w:cs="Times New Roman"/>
        </w:rPr>
        <w:t>F(</w:t>
      </w:r>
      <w:proofErr w:type="gramEnd"/>
      <w:r>
        <w:rPr>
          <w:rFonts w:ascii="Times New Roman" w:hAnsi="Times New Roman" w:cs="Times New Roman"/>
        </w:rPr>
        <w:t>6, 9859.3) = 328.29, p &lt; .001), so H1 is accepted. The effect size is small (η² = 0.05), and more importantly the direction of the differences does not match the management designations: the three zones labelled as infestation hotspots returned the most water-like signatures in the dataset, with the lowest standard deviations. The conclusion is that the existing zonation of Lake Wamala is not corroborated by the spectral evidence and requires revision against field data before it is used to direct control effort.</w:t>
      </w:r>
    </w:p>
    <w:p w14:paraId="27DD7B51" w14:textId="77777777" w:rsidR="00DB0109" w:rsidRPr="00352C77" w:rsidRDefault="007B6AAF" w:rsidP="00A623D5">
      <w:pPr>
        <w:pStyle w:val="ListParagraph"/>
        <w:numPr>
          <w:ilvl w:val="0"/>
          <w:numId w:val="5"/>
        </w:numPr>
        <w:spacing w:after="100" w:line="360" w:lineRule="auto"/>
        <w:jc w:val="both"/>
        <w:rPr>
          <w:rFonts w:ascii="Times New Roman" w:hAnsi="Times New Roman" w:cs="Times New Roman"/>
        </w:rPr>
      </w:pPr>
      <w:r>
        <w:rPr>
          <w:rFonts w:ascii="Times New Roman" w:hAnsi="Times New Roman" w:cs="Times New Roman"/>
          <w:b/>
        </w:rPr>
        <w:t xml:space="preserve">Objective 2 — spatial distribution by region (Hypothesis H2). </w:t>
      </w:r>
      <w:r>
        <w:rPr>
          <w:rFonts w:ascii="Times New Roman" w:hAnsi="Times New Roman" w:cs="Times New Roman"/>
        </w:rPr>
        <w:t xml:space="preserve">Mean NDVI differs significantly among the five regions (Welch’s </w:t>
      </w:r>
      <w:proofErr w:type="gramStart"/>
      <w:r>
        <w:rPr>
          <w:rFonts w:ascii="Times New Roman" w:hAnsi="Times New Roman" w:cs="Times New Roman"/>
        </w:rPr>
        <w:t>F(</w:t>
      </w:r>
      <w:proofErr w:type="gramEnd"/>
      <w:r>
        <w:rPr>
          <w:rFonts w:ascii="Times New Roman" w:hAnsi="Times New Roman" w:cs="Times New Roman"/>
        </w:rPr>
        <w:t>4, 10526.3) = 167.63, p &lt; .001, η² = 0.04), so H2 is accepted. The Southern region is the single unambiguous hotspot, holding the only positive regional mean NDVI (0.012), the highest proportion of dense-vegetation pixels (12.02%) and the two most vegetated stations, S-03 and S-01; the Eastern region follows at 4.93%. Since 95.2% of all pixels are open water or low vegetation, the central conclusion of the study is that infestation on Lake Wamala is spatially concentrated rather than lake-wide, and that management resources should be directed accordingly.</w:t>
      </w:r>
    </w:p>
    <w:p w14:paraId="76D09D20" w14:textId="77777777" w:rsidR="00DB0109" w:rsidRPr="00352C77" w:rsidRDefault="007B6AAF" w:rsidP="00A623D5">
      <w:pPr>
        <w:pStyle w:val="ListParagraph"/>
        <w:numPr>
          <w:ilvl w:val="0"/>
          <w:numId w:val="5"/>
        </w:numPr>
        <w:spacing w:after="100" w:line="360" w:lineRule="auto"/>
        <w:jc w:val="both"/>
        <w:rPr>
          <w:rFonts w:ascii="Times New Roman" w:hAnsi="Times New Roman" w:cs="Times New Roman"/>
        </w:rPr>
      </w:pPr>
      <w:r>
        <w:rPr>
          <w:rFonts w:ascii="Times New Roman" w:hAnsi="Times New Roman" w:cs="Times New Roman"/>
          <w:b/>
        </w:rPr>
        <w:t xml:space="preserve">Objective 2 — temporal trends (Hypothesis H3). </w:t>
      </w:r>
      <w:r>
        <w:rPr>
          <w:rFonts w:ascii="Times New Roman" w:hAnsi="Times New Roman" w:cs="Times New Roman"/>
        </w:rPr>
        <w:t>Mean NDVI differs significantly among the three observation years (</w:t>
      </w:r>
      <w:proofErr w:type="gramStart"/>
      <w:r>
        <w:rPr>
          <w:rFonts w:ascii="Times New Roman" w:hAnsi="Times New Roman" w:cs="Times New Roman"/>
        </w:rPr>
        <w:t>F(</w:t>
      </w:r>
      <w:proofErr w:type="gramEnd"/>
      <w:r>
        <w:rPr>
          <w:rFonts w:ascii="Times New Roman" w:hAnsi="Times New Roman" w:cs="Times New Roman"/>
        </w:rPr>
        <w:t>2, 30293) = 273.0, p &lt; .001, η² = 0.018), so H3 is accepted. The trajectory is a decline from −0.037 in 2017 to −0.113 in 2022, followed by partial recovery to −0.072 in 2025. The pattern coincides with the 2020–2023 La Niña-driven high-water period in the Lake Victoria basin and is best read as climate-driven submergence and turbidity rather than as evidence of successful weed control, since submergence and clearance produce the same spectral outcome. The small effect size indicates that inter-annual change is a minor component of the total variation in the index.</w:t>
      </w:r>
    </w:p>
    <w:p w14:paraId="3C28D880" w14:textId="77777777" w:rsidR="00DB0109" w:rsidRPr="00352C77" w:rsidRDefault="007B6AAF" w:rsidP="00A623D5">
      <w:pPr>
        <w:pStyle w:val="ListParagraph"/>
        <w:numPr>
          <w:ilvl w:val="0"/>
          <w:numId w:val="5"/>
        </w:numPr>
        <w:spacing w:after="100" w:line="360" w:lineRule="auto"/>
        <w:jc w:val="both"/>
        <w:rPr>
          <w:rFonts w:ascii="Times New Roman" w:hAnsi="Times New Roman" w:cs="Times New Roman"/>
        </w:rPr>
      </w:pPr>
      <w:r>
        <w:rPr>
          <w:rFonts w:ascii="Times New Roman" w:hAnsi="Times New Roman" w:cs="Times New Roman"/>
          <w:b/>
        </w:rPr>
        <w:t xml:space="preserve">Objective 3 — seasonal patterns (Hypothesis H4). </w:t>
      </w:r>
      <w:r>
        <w:rPr>
          <w:rFonts w:ascii="Times New Roman" w:hAnsi="Times New Roman" w:cs="Times New Roman"/>
        </w:rPr>
        <w:t>Mean NDVI differs significantly among the five sampled months (</w:t>
      </w:r>
      <w:proofErr w:type="gramStart"/>
      <w:r>
        <w:rPr>
          <w:rFonts w:ascii="Times New Roman" w:hAnsi="Times New Roman" w:cs="Times New Roman"/>
        </w:rPr>
        <w:t>F(</w:t>
      </w:r>
      <w:proofErr w:type="gramEnd"/>
      <w:r>
        <w:rPr>
          <w:rFonts w:ascii="Times New Roman" w:hAnsi="Times New Roman" w:cs="Times New Roman"/>
        </w:rPr>
        <w:t xml:space="preserve">4, 30291) = 692.2, p &lt; .001, η² = 0.084), so H4 is accepted. Season is the strongest of the four grouping factors tested, exceeding zone type, region and year. The signal peaks in January at the height of the dry season (−0.011) and </w:t>
      </w:r>
      <w:r>
        <w:rPr>
          <w:rFonts w:ascii="Times New Roman" w:hAnsi="Times New Roman" w:cs="Times New Roman"/>
        </w:rPr>
        <w:lastRenderedPageBreak/>
        <w:t>reaches its minimum in February at the onset of the first rains (−0.133), with NDWI mirroring the pattern at greater amplitude. The operational conclusion is that weed assessments must be compared between matching months, since within-year seasonal change exceeds the entire 2017-to-2022 inter-annual shift.</w:t>
      </w:r>
    </w:p>
    <w:p w14:paraId="0606745B" w14:textId="77777777" w:rsidR="00DB0109" w:rsidRPr="00352C77" w:rsidRDefault="007B6AAF" w:rsidP="00A623D5">
      <w:pPr>
        <w:pStyle w:val="ListParagraph"/>
        <w:numPr>
          <w:ilvl w:val="0"/>
          <w:numId w:val="5"/>
        </w:numPr>
        <w:spacing w:after="100" w:line="360" w:lineRule="auto"/>
        <w:jc w:val="both"/>
        <w:rPr>
          <w:rFonts w:ascii="Times New Roman" w:hAnsi="Times New Roman" w:cs="Times New Roman"/>
        </w:rPr>
      </w:pPr>
      <w:r>
        <w:rPr>
          <w:rFonts w:ascii="Times New Roman" w:hAnsi="Times New Roman" w:cs="Times New Roman"/>
          <w:b/>
        </w:rPr>
        <w:t xml:space="preserve">Overall conclusion. </w:t>
      </w:r>
      <w:r>
        <w:rPr>
          <w:rFonts w:ascii="Times New Roman" w:hAnsi="Times New Roman" w:cs="Times New Roman"/>
        </w:rPr>
        <w:t>The five tests support a single conclusion: aquatic weed infestation on Lake Wamala is a spatially concentrated, strongly seasonal and climate-modulated phenomenon that freely available Sentinel-2 imagery can assess reliably and at negligible cost. Station-level analysis confirms that heterogeneity persists below the regional scale, since E-01 and E-03 differ markedly within the Eastern region, so monitoring should be conducted at station level and at monthly resolution. The principal limitation of the assessment is the absence of simultaneous ground-truth data, without which the NDVI thresholds cannot be calibrated locally and the discrepancy between the management zonation and the spectral evidence cannot be finally resolved.</w:t>
      </w:r>
    </w:p>
    <w:p w14:paraId="40AA6FF8" w14:textId="77777777" w:rsidR="00DB0109" w:rsidRPr="00352C77" w:rsidRDefault="007B6AAF" w:rsidP="00A623D5">
      <w:pPr>
        <w:pStyle w:val="Heading2"/>
        <w:spacing w:line="360" w:lineRule="auto"/>
        <w:rPr>
          <w:rFonts w:ascii="Times New Roman" w:hAnsi="Times New Roman" w:cs="Times New Roman"/>
        </w:rPr>
      </w:pPr>
      <w:bookmarkStart w:id="157" w:name="_Toc237884344"/>
      <w:r>
        <w:rPr>
          <w:rFonts w:ascii="Times New Roman" w:hAnsi="Times New Roman" w:cs="Times New Roman"/>
        </w:rPr>
        <w:t>5.3 Recommendations for Water Weed Management</w:t>
      </w:r>
      <w:bookmarkEnd w:id="157"/>
    </w:p>
    <w:p w14:paraId="65965DAD" w14:textId="77777777" w:rsidR="00DB0109" w:rsidRPr="00352C77" w:rsidRDefault="007B6AAF" w:rsidP="00A623D5">
      <w:pPr>
        <w:pStyle w:val="ListParagraph"/>
        <w:numPr>
          <w:ilvl w:val="0"/>
          <w:numId w:val="6"/>
        </w:numPr>
        <w:spacing w:after="100" w:line="360" w:lineRule="auto"/>
        <w:jc w:val="both"/>
        <w:rPr>
          <w:rFonts w:ascii="Times New Roman" w:hAnsi="Times New Roman" w:cs="Times New Roman"/>
        </w:rPr>
      </w:pPr>
      <w:r>
        <w:rPr>
          <w:rFonts w:ascii="Times New Roman" w:hAnsi="Times New Roman" w:cs="Times New Roman"/>
          <w:b/>
          <w:bCs/>
        </w:rPr>
        <w:t xml:space="preserve">Spatially targeted management. </w:t>
      </w:r>
      <w:r>
        <w:rPr>
          <w:rFonts w:ascii="Times New Roman" w:hAnsi="Times New Roman" w:cs="Times New Roman"/>
        </w:rPr>
        <w:t>Interventions should be prioritised in the Southern and Eastern regions, where vegetation is most concentrated. The Southern region (stations S-01, S-02 and S-03) should receive the highest priority for mechanical harvesting, biological control or integrated approaches, while the Western and Dynamic Targeting regions may require only monitoring and prevention.</w:t>
      </w:r>
    </w:p>
    <w:p w14:paraId="549494DB" w14:textId="77777777" w:rsidR="00DB0109" w:rsidRPr="00352C77" w:rsidRDefault="007B6AAF" w:rsidP="00A623D5">
      <w:pPr>
        <w:pStyle w:val="ListParagraph"/>
        <w:numPr>
          <w:ilvl w:val="0"/>
          <w:numId w:val="6"/>
        </w:numPr>
        <w:spacing w:after="100" w:line="360" w:lineRule="auto"/>
        <w:jc w:val="both"/>
        <w:rPr>
          <w:rFonts w:ascii="Times New Roman" w:hAnsi="Times New Roman" w:cs="Times New Roman"/>
        </w:rPr>
      </w:pPr>
      <w:r>
        <w:rPr>
          <w:rFonts w:ascii="Times New Roman" w:hAnsi="Times New Roman" w:cs="Times New Roman"/>
          <w:b/>
          <w:bCs/>
        </w:rPr>
        <w:t xml:space="preserve">Adaptive management framework. </w:t>
      </w:r>
      <w:r>
        <w:rPr>
          <w:rFonts w:ascii="Times New Roman" w:hAnsi="Times New Roman" w:cs="Times New Roman"/>
        </w:rPr>
        <w:t>Given the strong inter-annual variability, management should be adaptive rather than static, with annual or biennial review of priorities based on remote-sensing assessments. During high-water periods the focus should be on preventing the spread of floating weeds to newly inundated areas; during stable periods, on controlling established beds.</w:t>
      </w:r>
    </w:p>
    <w:p w14:paraId="631F7BAF" w14:textId="77777777" w:rsidR="00DB0109" w:rsidRPr="00352C77" w:rsidRDefault="007B6AAF" w:rsidP="00A623D5">
      <w:pPr>
        <w:pStyle w:val="ListParagraph"/>
        <w:numPr>
          <w:ilvl w:val="0"/>
          <w:numId w:val="6"/>
        </w:numPr>
        <w:spacing w:after="100" w:line="360" w:lineRule="auto"/>
        <w:jc w:val="both"/>
        <w:rPr>
          <w:rFonts w:ascii="Times New Roman" w:hAnsi="Times New Roman" w:cs="Times New Roman"/>
        </w:rPr>
      </w:pPr>
      <w:r>
        <w:rPr>
          <w:rFonts w:ascii="Times New Roman" w:hAnsi="Times New Roman" w:cs="Times New Roman"/>
          <w:b/>
          <w:bCs/>
        </w:rPr>
        <w:t xml:space="preserve">Integrated monitoring system. </w:t>
      </w:r>
      <w:r>
        <w:rPr>
          <w:rFonts w:ascii="Times New Roman" w:hAnsi="Times New Roman" w:cs="Times New Roman"/>
        </w:rPr>
        <w:t>A monitoring system combining Sentinel-2 remote sensing with ground-based validation should be established, providing monthly or quarterly assessments using locally calibrated NDVI and NDWI thresholds and periodic validation at all 16 stations, especially during peak vegetation months (February–March) and the dry season (January).</w:t>
      </w:r>
    </w:p>
    <w:p w14:paraId="49D8D884" w14:textId="77777777" w:rsidR="00DB0109" w:rsidRPr="00352C77" w:rsidRDefault="007B6AAF" w:rsidP="00A623D5">
      <w:pPr>
        <w:pStyle w:val="ListParagraph"/>
        <w:numPr>
          <w:ilvl w:val="0"/>
          <w:numId w:val="6"/>
        </w:numPr>
        <w:spacing w:after="100" w:line="360" w:lineRule="auto"/>
        <w:jc w:val="both"/>
        <w:rPr>
          <w:rFonts w:ascii="Times New Roman" w:hAnsi="Times New Roman" w:cs="Times New Roman"/>
        </w:rPr>
      </w:pPr>
      <w:r>
        <w:rPr>
          <w:rFonts w:ascii="Times New Roman" w:hAnsi="Times New Roman" w:cs="Times New Roman"/>
          <w:b/>
          <w:bCs/>
        </w:rPr>
        <w:lastRenderedPageBreak/>
        <w:t xml:space="preserve">Nutrient management. </w:t>
      </w:r>
      <w:r>
        <w:rPr>
          <w:rFonts w:ascii="Times New Roman" w:hAnsi="Times New Roman" w:cs="Times New Roman"/>
        </w:rPr>
        <w:t>Because nutrient inputs from agricultural runoff appear to drive weed proliferation in the Southern and Eastern regions, measures should include riparian buffer zones along inflowing rivers, constructed wetlands or sediment traps at river mouths, and engagement with farming communities to reduce fertiliser runoff. Intensive agricultural areas near the lake should be priority targets.</w:t>
      </w:r>
    </w:p>
    <w:p w14:paraId="1EF72808" w14:textId="77777777" w:rsidR="00DB0109" w:rsidRPr="00352C77" w:rsidRDefault="007B6AAF" w:rsidP="00A623D5">
      <w:pPr>
        <w:pStyle w:val="ListParagraph"/>
        <w:numPr>
          <w:ilvl w:val="0"/>
          <w:numId w:val="6"/>
        </w:numPr>
        <w:spacing w:after="100" w:line="360" w:lineRule="auto"/>
        <w:jc w:val="both"/>
        <w:rPr>
          <w:rFonts w:ascii="Times New Roman" w:hAnsi="Times New Roman" w:cs="Times New Roman"/>
        </w:rPr>
      </w:pPr>
      <w:r>
        <w:rPr>
          <w:rFonts w:ascii="Times New Roman" w:hAnsi="Times New Roman" w:cs="Times New Roman"/>
          <w:b/>
          <w:bCs/>
        </w:rPr>
        <w:t xml:space="preserve">Community engagement and education. </w:t>
      </w:r>
      <w:r>
        <w:rPr>
          <w:rFonts w:ascii="Times New Roman" w:hAnsi="Times New Roman" w:cs="Times New Roman"/>
        </w:rPr>
        <w:t>Local fishing communities, who are most affected by weed infestation, should be engaged in management. Community-based monitoring can supplement satellite data with local knowledge and early warning, and educational programmes should raise awareness of the link between nutrient pollution and weed growth.</w:t>
      </w:r>
    </w:p>
    <w:p w14:paraId="0AC779D9" w14:textId="77777777" w:rsidR="00DB0109" w:rsidRPr="00352C77" w:rsidRDefault="007B6AAF" w:rsidP="00A623D5">
      <w:pPr>
        <w:pStyle w:val="ListParagraph"/>
        <w:numPr>
          <w:ilvl w:val="0"/>
          <w:numId w:val="6"/>
        </w:numPr>
        <w:spacing w:after="100" w:line="360" w:lineRule="auto"/>
        <w:jc w:val="both"/>
        <w:rPr>
          <w:rFonts w:ascii="Times New Roman" w:hAnsi="Times New Roman" w:cs="Times New Roman"/>
        </w:rPr>
      </w:pPr>
      <w:r>
        <w:rPr>
          <w:rFonts w:ascii="Times New Roman" w:hAnsi="Times New Roman" w:cs="Times New Roman"/>
          <w:b/>
          <w:bCs/>
        </w:rPr>
        <w:t xml:space="preserve">Biological control enhancement. </w:t>
      </w:r>
      <w:r>
        <w:rPr>
          <w:rFonts w:ascii="Times New Roman" w:hAnsi="Times New Roman" w:cs="Times New Roman"/>
        </w:rPr>
        <w:t>Where mechanical harvesting is impractical, biological control using weevils (</w:t>
      </w:r>
      <w:proofErr w:type="spellStart"/>
      <w:r>
        <w:rPr>
          <w:rFonts w:ascii="Times New Roman" w:hAnsi="Times New Roman" w:cs="Times New Roman"/>
          <w:i/>
        </w:rPr>
        <w:t>Neochetina</w:t>
      </w:r>
      <w:proofErr w:type="spellEnd"/>
      <w:r>
        <w:rPr>
          <w:rFonts w:ascii="Times New Roman" w:hAnsi="Times New Roman" w:cs="Times New Roman"/>
          <w:i/>
        </w:rPr>
        <w:t xml:space="preserve"> </w:t>
      </w:r>
      <w:proofErr w:type="spellStart"/>
      <w:r>
        <w:rPr>
          <w:rFonts w:ascii="Times New Roman" w:hAnsi="Times New Roman" w:cs="Times New Roman"/>
          <w:i/>
        </w:rPr>
        <w:t>eichhorniae</w:t>
      </w:r>
      <w:proofErr w:type="spellEnd"/>
      <w:r>
        <w:rPr>
          <w:rFonts w:ascii="Times New Roman" w:hAnsi="Times New Roman" w:cs="Times New Roman"/>
        </w:rPr>
        <w:t xml:space="preserve"> and </w:t>
      </w:r>
      <w:proofErr w:type="spellStart"/>
      <w:r>
        <w:rPr>
          <w:rFonts w:ascii="Times New Roman" w:hAnsi="Times New Roman" w:cs="Times New Roman"/>
          <w:i/>
        </w:rPr>
        <w:t>Neochetina</w:t>
      </w:r>
      <w:proofErr w:type="spellEnd"/>
      <w:r>
        <w:rPr>
          <w:rFonts w:ascii="Times New Roman" w:hAnsi="Times New Roman" w:cs="Times New Roman"/>
          <w:i/>
        </w:rPr>
        <w:t xml:space="preserve"> bruchi</w:t>
      </w:r>
      <w:r>
        <w:rPr>
          <w:rFonts w:ascii="Times New Roman" w:hAnsi="Times New Roman" w:cs="Times New Roman"/>
        </w:rPr>
        <w:t>) should be explored as a sustainable alternative, with the concentrated southern distribution of weeds making this area particularly suitable; any introduction should be carefully evaluated to avoid unintended ecological consequences.</w:t>
      </w:r>
    </w:p>
    <w:p w14:paraId="219A437D" w14:textId="77777777" w:rsidR="00DB0109" w:rsidRPr="00352C77" w:rsidRDefault="007B6AAF" w:rsidP="00A623D5">
      <w:pPr>
        <w:pStyle w:val="ListParagraph"/>
        <w:numPr>
          <w:ilvl w:val="0"/>
          <w:numId w:val="6"/>
        </w:numPr>
        <w:spacing w:after="100" w:line="360" w:lineRule="auto"/>
        <w:jc w:val="both"/>
        <w:rPr>
          <w:rFonts w:ascii="Times New Roman" w:hAnsi="Times New Roman" w:cs="Times New Roman"/>
        </w:rPr>
      </w:pPr>
      <w:r>
        <w:rPr>
          <w:rFonts w:ascii="Times New Roman" w:hAnsi="Times New Roman" w:cs="Times New Roman"/>
          <w:b/>
          <w:bCs/>
        </w:rPr>
        <w:t xml:space="preserve">Update management zone classification. </w:t>
      </w:r>
      <w:r>
        <w:rPr>
          <w:rFonts w:ascii="Times New Roman" w:hAnsi="Times New Roman" w:cs="Times New Roman"/>
        </w:rPr>
        <w:t>The current zonation should be revised using the spectral evidence from this study, reclassifying zones that are spectrally open water but labelled as hotspots and incorporating unexpectedly vegetated areas, ideally through a participatory mapping exercise involving local stakeholders and remote-sensing experts.</w:t>
      </w:r>
    </w:p>
    <w:p w14:paraId="361BDB17" w14:textId="77777777" w:rsidR="00DB0109" w:rsidRPr="00352C77" w:rsidRDefault="007B6AAF" w:rsidP="00A623D5">
      <w:pPr>
        <w:pStyle w:val="Heading2"/>
        <w:spacing w:line="360" w:lineRule="auto"/>
        <w:rPr>
          <w:rFonts w:ascii="Times New Roman" w:hAnsi="Times New Roman" w:cs="Times New Roman"/>
        </w:rPr>
      </w:pPr>
      <w:bookmarkStart w:id="158" w:name="_Toc237884345"/>
      <w:r>
        <w:rPr>
          <w:rFonts w:ascii="Times New Roman" w:hAnsi="Times New Roman" w:cs="Times New Roman"/>
        </w:rPr>
        <w:t>5.4 Recommendations for Future Research</w:t>
      </w:r>
      <w:bookmarkEnd w:id="158"/>
    </w:p>
    <w:p w14:paraId="65B0E289" w14:textId="77777777" w:rsidR="00DB0109" w:rsidRPr="00352C77" w:rsidRDefault="007B6AAF" w:rsidP="00A623D5">
      <w:pPr>
        <w:pStyle w:val="ListParagraph"/>
        <w:numPr>
          <w:ilvl w:val="0"/>
          <w:numId w:val="7"/>
        </w:numPr>
        <w:spacing w:after="100" w:line="360" w:lineRule="auto"/>
        <w:jc w:val="both"/>
        <w:rPr>
          <w:rFonts w:ascii="Times New Roman" w:hAnsi="Times New Roman" w:cs="Times New Roman"/>
        </w:rPr>
      </w:pPr>
      <w:r>
        <w:rPr>
          <w:rFonts w:ascii="Times New Roman" w:hAnsi="Times New Roman" w:cs="Times New Roman"/>
          <w:b/>
          <w:bCs/>
        </w:rPr>
        <w:t xml:space="preserve">Higher temporal resolution. </w:t>
      </w:r>
      <w:r>
        <w:rPr>
          <w:rFonts w:ascii="Times New Roman" w:hAnsi="Times New Roman" w:cs="Times New Roman"/>
        </w:rPr>
        <w:t>Future work should aim for monthly or bi-monthly coverage over a 10–</w:t>
      </w:r>
      <w:proofErr w:type="gramStart"/>
      <w:r>
        <w:rPr>
          <w:rFonts w:ascii="Times New Roman" w:hAnsi="Times New Roman" w:cs="Times New Roman"/>
        </w:rPr>
        <w:t>15 year</w:t>
      </w:r>
      <w:proofErr w:type="gramEnd"/>
      <w:r>
        <w:rPr>
          <w:rFonts w:ascii="Times New Roman" w:hAnsi="Times New Roman" w:cs="Times New Roman"/>
        </w:rPr>
        <w:t xml:space="preserve"> period, combining the Landsat archive (from 1984) with ongoing Sentinel-2 acquisitions to capture inter-annual variability and long-term trends more fully.</w:t>
      </w:r>
    </w:p>
    <w:p w14:paraId="4DEF9229" w14:textId="77777777" w:rsidR="00DB0109" w:rsidRPr="00352C77" w:rsidRDefault="007B6AAF" w:rsidP="00A623D5">
      <w:pPr>
        <w:pStyle w:val="ListParagraph"/>
        <w:numPr>
          <w:ilvl w:val="0"/>
          <w:numId w:val="7"/>
        </w:numPr>
        <w:spacing w:after="100" w:line="360" w:lineRule="auto"/>
        <w:jc w:val="both"/>
        <w:rPr>
          <w:rFonts w:ascii="Times New Roman" w:hAnsi="Times New Roman" w:cs="Times New Roman"/>
        </w:rPr>
      </w:pPr>
      <w:r>
        <w:rPr>
          <w:rFonts w:ascii="Times New Roman" w:hAnsi="Times New Roman" w:cs="Times New Roman"/>
          <w:b/>
          <w:bCs/>
        </w:rPr>
        <w:t xml:space="preserve">Machine-learning classification. </w:t>
      </w:r>
      <w:r>
        <w:rPr>
          <w:rFonts w:ascii="Times New Roman" w:hAnsi="Times New Roman" w:cs="Times New Roman"/>
        </w:rPr>
        <w:t>Techniques such as Random Forest, Support Vector Machines or Convolutional Neural Networks, incorporating multiple bands, texture and temporal features, should be explored to improve accuracy and resolve discrepancies between management zones and spectral classifications.</w:t>
      </w:r>
    </w:p>
    <w:p w14:paraId="7AC71A6A" w14:textId="77777777" w:rsidR="00DB0109" w:rsidRPr="00352C77" w:rsidRDefault="007B6AAF" w:rsidP="00A623D5">
      <w:pPr>
        <w:pStyle w:val="ListParagraph"/>
        <w:numPr>
          <w:ilvl w:val="0"/>
          <w:numId w:val="7"/>
        </w:numPr>
        <w:spacing w:after="100" w:line="360" w:lineRule="auto"/>
        <w:jc w:val="both"/>
        <w:rPr>
          <w:rFonts w:ascii="Times New Roman" w:hAnsi="Times New Roman" w:cs="Times New Roman"/>
        </w:rPr>
      </w:pPr>
      <w:r>
        <w:rPr>
          <w:rFonts w:ascii="Times New Roman" w:hAnsi="Times New Roman" w:cs="Times New Roman"/>
          <w:b/>
          <w:bCs/>
        </w:rPr>
        <w:t xml:space="preserve">Ground-truthing campaign. </w:t>
      </w:r>
      <w:r>
        <w:rPr>
          <w:rFonts w:ascii="Times New Roman" w:hAnsi="Times New Roman" w:cs="Times New Roman"/>
        </w:rPr>
        <w:t xml:space="preserve">Systematic field collection of vegetation cover, species composition and biomass with GPS coordinates at all 16 stations across different months </w:t>
      </w:r>
      <w:r>
        <w:rPr>
          <w:rFonts w:ascii="Times New Roman" w:hAnsi="Times New Roman" w:cs="Times New Roman"/>
        </w:rPr>
        <w:lastRenderedPageBreak/>
        <w:t>would provide the empirical basis for calibrating and validating the indices; hydroacoustic methods or underwater cameras could assess submerged vegetation not captured by surface NDVI.</w:t>
      </w:r>
    </w:p>
    <w:p w14:paraId="434D4773" w14:textId="77777777" w:rsidR="00DB0109" w:rsidRPr="00352C77" w:rsidRDefault="007B6AAF" w:rsidP="00A623D5">
      <w:pPr>
        <w:pStyle w:val="ListParagraph"/>
        <w:numPr>
          <w:ilvl w:val="0"/>
          <w:numId w:val="7"/>
        </w:numPr>
        <w:spacing w:after="100" w:line="360" w:lineRule="auto"/>
        <w:jc w:val="both"/>
        <w:rPr>
          <w:rFonts w:ascii="Times New Roman" w:hAnsi="Times New Roman" w:cs="Times New Roman"/>
        </w:rPr>
      </w:pPr>
      <w:r>
        <w:rPr>
          <w:rFonts w:ascii="Times New Roman" w:hAnsi="Times New Roman" w:cs="Times New Roman"/>
          <w:b/>
          <w:bCs/>
        </w:rPr>
        <w:t xml:space="preserve">Climate and hydrological modelling. </w:t>
      </w:r>
      <w:r>
        <w:rPr>
          <w:rFonts w:ascii="Times New Roman" w:hAnsi="Times New Roman" w:cs="Times New Roman"/>
        </w:rPr>
        <w:t>Integrating remote-sensing data with rainfall records, lake-level data and hydrological models would quantify the links between climate, hydrology and vegetation, enabling predictive modelling of weed infestation under different climate scenarios.</w:t>
      </w:r>
    </w:p>
    <w:p w14:paraId="06BAD2D5" w14:textId="77777777" w:rsidR="00DB0109" w:rsidRPr="00352C77" w:rsidRDefault="007B6AAF" w:rsidP="00A623D5">
      <w:pPr>
        <w:pStyle w:val="ListParagraph"/>
        <w:numPr>
          <w:ilvl w:val="0"/>
          <w:numId w:val="7"/>
        </w:numPr>
        <w:spacing w:after="100" w:line="360" w:lineRule="auto"/>
        <w:jc w:val="both"/>
        <w:rPr>
          <w:rFonts w:ascii="Times New Roman" w:hAnsi="Times New Roman" w:cs="Times New Roman"/>
        </w:rPr>
      </w:pPr>
      <w:r>
        <w:rPr>
          <w:rFonts w:ascii="Times New Roman" w:hAnsi="Times New Roman" w:cs="Times New Roman"/>
          <w:b/>
          <w:bCs/>
        </w:rPr>
        <w:t xml:space="preserve">Species-specific mapping. </w:t>
      </w:r>
      <w:r>
        <w:rPr>
          <w:rFonts w:ascii="Times New Roman" w:hAnsi="Times New Roman" w:cs="Times New Roman"/>
        </w:rPr>
        <w:t xml:space="preserve">Future research should distinguish weed species (water hyacinth, water lettuce, </w:t>
      </w:r>
      <w:r>
        <w:rPr>
          <w:rFonts w:ascii="Times New Roman" w:hAnsi="Times New Roman" w:cs="Times New Roman"/>
          <w:i/>
        </w:rPr>
        <w:t>Salvinia molesta</w:t>
      </w:r>
      <w:r>
        <w:rPr>
          <w:rFonts w:ascii="Times New Roman" w:hAnsi="Times New Roman" w:cs="Times New Roman"/>
        </w:rPr>
        <w:t xml:space="preserve"> and others) using hyperspectral data or high-resolution imagery, since different species have different impacts and management requirements.</w:t>
      </w:r>
    </w:p>
    <w:p w14:paraId="4836F6DE" w14:textId="77777777" w:rsidR="00DB0109" w:rsidRPr="00352C77" w:rsidRDefault="007B6AAF" w:rsidP="00A623D5">
      <w:pPr>
        <w:pStyle w:val="ListParagraph"/>
        <w:numPr>
          <w:ilvl w:val="0"/>
          <w:numId w:val="7"/>
        </w:numPr>
        <w:spacing w:after="100" w:line="360" w:lineRule="auto"/>
        <w:jc w:val="both"/>
        <w:rPr>
          <w:rFonts w:ascii="Times New Roman" w:hAnsi="Times New Roman" w:cs="Times New Roman"/>
        </w:rPr>
      </w:pPr>
      <w:r>
        <w:rPr>
          <w:rFonts w:ascii="Times New Roman" w:hAnsi="Times New Roman" w:cs="Times New Roman"/>
          <w:b/>
          <w:bCs/>
        </w:rPr>
        <w:t xml:space="preserve">Socio-economic impact assessment. </w:t>
      </w:r>
      <w:r>
        <w:rPr>
          <w:rFonts w:ascii="Times New Roman" w:hAnsi="Times New Roman" w:cs="Times New Roman"/>
        </w:rPr>
        <w:t>The ecological findings should be linked to socio-economic impacts by quantifying the costs of infestation in terms of reduced fishing yields, navigation, water treatment and tourism, providing a stronger basis for justifying management investment.</w:t>
      </w:r>
    </w:p>
    <w:p w14:paraId="7FA9730B" w14:textId="77777777" w:rsidR="00DB0109" w:rsidRPr="00352C77" w:rsidRDefault="007B6AAF" w:rsidP="00A623D5">
      <w:pPr>
        <w:pStyle w:val="ListParagraph"/>
        <w:numPr>
          <w:ilvl w:val="0"/>
          <w:numId w:val="7"/>
        </w:numPr>
        <w:spacing w:after="100" w:line="360" w:lineRule="auto"/>
        <w:jc w:val="both"/>
        <w:rPr>
          <w:rFonts w:ascii="Times New Roman" w:hAnsi="Times New Roman" w:cs="Times New Roman"/>
        </w:rPr>
      </w:pPr>
      <w:r>
        <w:rPr>
          <w:rFonts w:ascii="Times New Roman" w:hAnsi="Times New Roman" w:cs="Times New Roman"/>
          <w:b/>
          <w:bCs/>
        </w:rPr>
        <w:t xml:space="preserve">Comparative studies with other lakes. </w:t>
      </w:r>
      <w:r>
        <w:rPr>
          <w:rFonts w:ascii="Times New Roman" w:hAnsi="Times New Roman" w:cs="Times New Roman"/>
        </w:rPr>
        <w:t>Comparing Lake Wamala with other affected lakes such as Lake Kyoga, Lake George and Lake Victoria would identify common drivers and shared management lessons, supported by a regional database of remote-sensing-derived vegetation indices.</w:t>
      </w:r>
    </w:p>
    <w:p w14:paraId="22AF6961" w14:textId="77777777" w:rsidR="00DB0109" w:rsidRPr="00352C77" w:rsidRDefault="007B6AAF" w:rsidP="00A623D5">
      <w:pPr>
        <w:pStyle w:val="Heading2"/>
        <w:spacing w:line="360" w:lineRule="auto"/>
        <w:rPr>
          <w:rFonts w:ascii="Times New Roman" w:hAnsi="Times New Roman" w:cs="Times New Roman"/>
        </w:rPr>
      </w:pPr>
      <w:bookmarkStart w:id="159" w:name="_Toc237884346"/>
      <w:r>
        <w:rPr>
          <w:rFonts w:ascii="Times New Roman" w:hAnsi="Times New Roman" w:cs="Times New Roman"/>
        </w:rPr>
        <w:t>5.5 Policy Implications</w:t>
      </w:r>
      <w:bookmarkEnd w:id="159"/>
    </w:p>
    <w:p w14:paraId="3E6A75CC"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The findings have direct policy relevance. The National Environment Management Authority and the Ministry of Water and Environment should consider incorporating remote-sensing-based vegetation monitoring into their lake-management frameworks, given the cost-effectiveness of Sentinel-2 data even for resource-constrained agencies. Because infestation is concentrated in specific regions, national lake-management budgets could be allocated more efficiently by targeting high-priority areas rather than applying uniform interventions.</w:t>
      </w:r>
    </w:p>
    <w:p w14:paraId="1535D87F"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The evidence for nutrient-driven proliferation supports including agricultural non-point-source pollution control in lake-management policy. Existing instruments such as the National Environment Act, the Water Act and the National Agricultural Policy should be strengthened to </w:t>
      </w:r>
      <w:r>
        <w:rPr>
          <w:rFonts w:ascii="Times New Roman" w:hAnsi="Times New Roman" w:cs="Times New Roman"/>
        </w:rPr>
        <w:lastRenderedPageBreak/>
        <w:t>provide for lake buffer zones, nutrient-management plans and incentives for sustainable catchment agriculture, and the Lake Wamala Catchment Management Plan should be updated to reflect the spatial patterns identified here. At the transboundary level, weed-management efforts should be coordinated within the Lake Victoria basin through the Lake Victoria Fisheries Organisation and the Lake Victoria Basin Commission, facilitating shared monitoring, common databases and joint strategies.</w:t>
      </w:r>
    </w:p>
    <w:p w14:paraId="4DBF3B41" w14:textId="77777777" w:rsidR="00DB0109" w:rsidRPr="00352C77" w:rsidRDefault="007B6AAF" w:rsidP="00A623D5">
      <w:pPr>
        <w:pStyle w:val="Heading2"/>
        <w:spacing w:line="360" w:lineRule="auto"/>
        <w:rPr>
          <w:rFonts w:ascii="Times New Roman" w:hAnsi="Times New Roman" w:cs="Times New Roman"/>
        </w:rPr>
      </w:pPr>
      <w:bookmarkStart w:id="160" w:name="_Toc237884347"/>
      <w:r>
        <w:rPr>
          <w:rFonts w:ascii="Times New Roman" w:hAnsi="Times New Roman" w:cs="Times New Roman"/>
        </w:rPr>
        <w:t>5.6 Concluding Remarks</w:t>
      </w:r>
      <w:bookmarkEnd w:id="160"/>
    </w:p>
    <w:p w14:paraId="3C511284"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 xml:space="preserve">This study has demonstrated the utility of NDVI and NDWI, derived from freely available Sentinel-2 imagery, for mapping and monitoring aquatic weed distribution on Lake Wamala. The analysis of </w:t>
      </w:r>
      <w:proofErr w:type="gramStart"/>
      <w:r>
        <w:rPr>
          <w:rFonts w:ascii="Times New Roman" w:hAnsi="Times New Roman" w:cs="Times New Roman"/>
        </w:rPr>
        <w:t>30,296 pixel</w:t>
      </w:r>
      <w:proofErr w:type="gramEnd"/>
      <w:r>
        <w:rPr>
          <w:rFonts w:ascii="Times New Roman" w:hAnsi="Times New Roman" w:cs="Times New Roman"/>
        </w:rPr>
        <w:t xml:space="preserve"> observations from 16 stations across three years has produced a comprehensive picture of spatial patterns, temporal trends and seasonal dynamics. The findings challenge the assumption that weed infestation is a uniform, lake-wide problem; instead, they reveal a highly heterogeneous distribution with clear hotspots in the Southern and Eastern regions and extensive open water in the Western and Dynamic Targeting regions.</w:t>
      </w:r>
    </w:p>
    <w:p w14:paraId="0D402CFF" w14:textId="77777777" w:rsidR="00DB0109" w:rsidRPr="00352C77" w:rsidRDefault="007B6AAF" w:rsidP="00A623D5">
      <w:pPr>
        <w:spacing w:after="160" w:line="360" w:lineRule="auto"/>
        <w:jc w:val="both"/>
        <w:rPr>
          <w:rFonts w:ascii="Times New Roman" w:hAnsi="Times New Roman" w:cs="Times New Roman"/>
        </w:rPr>
      </w:pPr>
      <w:r>
        <w:rPr>
          <w:rFonts w:ascii="Times New Roman" w:hAnsi="Times New Roman" w:cs="Times New Roman"/>
        </w:rPr>
        <w:t>The marked temporal shifts between 2017, 2022 and 2025 underline the dynamic nature of the lake and the importance of continuous monitoring, while the partial recovery by 2025 offers encouragement that well-targeted, adaptive management can help maintain the lake in a productive and navigable state. The strong NDVI–NDWI correlation confirms the value of these indices as practical tools for managers and researchers. Ultimately, the sustainable management of Lake Wamala requires an integrated approach combining remote-sensing monitoring, ground-based validation, nutrient management, community engagement and adaptive strategies. By identifying where to act, when to act and which tools to use, this study provides a scientific foundation for protecting this vital resource amid increasing pressures from climate change, population growth and agricultural intensification.</w:t>
      </w:r>
    </w:p>
    <w:p w14:paraId="720ADA59" w14:textId="77777777" w:rsidR="00DB0109" w:rsidRPr="00651A0A" w:rsidRDefault="007B6AAF" w:rsidP="00A623D5">
      <w:pPr>
        <w:pStyle w:val="Heading1"/>
        <w:pageBreakBefore/>
        <w:spacing w:line="360" w:lineRule="auto"/>
        <w:rPr>
          <w:rFonts w:ascii="Times New Roman" w:hAnsi="Times New Roman" w:cs="Times New Roman"/>
        </w:rPr>
      </w:pPr>
      <w:bookmarkStart w:id="161" w:name="_Toc237884348"/>
      <w:r>
        <w:rPr>
          <w:rFonts w:ascii="Times New Roman" w:hAnsi="Times New Roman" w:cs="Times New Roman"/>
        </w:rPr>
        <w:lastRenderedPageBreak/>
        <w:t>REFERENCES</w:t>
      </w:r>
      <w:bookmarkEnd w:id="161"/>
    </w:p>
    <w:p w14:paraId="25676C83" w14:textId="77777777" w:rsidR="00B9027D" w:rsidRPr="00A623D5" w:rsidRDefault="00B9027D" w:rsidP="00A623D5">
      <w:pPr>
        <w:pStyle w:val="ListParagraph"/>
        <w:widowControl w:val="0"/>
        <w:numPr>
          <w:ilvl w:val="0"/>
          <w:numId w:val="10"/>
        </w:numPr>
        <w:autoSpaceDE w:val="0"/>
        <w:autoSpaceDN w:val="0"/>
        <w:adjustRightInd w:val="0"/>
        <w:spacing w:after="140" w:line="360" w:lineRule="auto"/>
        <w:rPr>
          <w:rFonts w:ascii="Times New Roman" w:hAnsi="Times New Roman" w:cs="Times New Roman"/>
          <w:noProof/>
        </w:rPr>
      </w:pPr>
      <w:r>
        <w:rPr>
          <w:rFonts w:ascii="Times New Roman" w:hAnsi="Times New Roman" w:cs="Times New Roman"/>
        </w:rPr>
        <w:fldChar w:fldCharType="begin" w:fldLock="1"/>
      </w:r>
      <w:r w:rsidRPr="00A623D5">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Pr="00A623D5">
        <w:rPr>
          <w:rFonts w:ascii="Times New Roman" w:hAnsi="Times New Roman" w:cs="Times New Roman"/>
          <w:noProof/>
        </w:rPr>
        <w:t xml:space="preserve">Ademola, B. T., Mahuta, S. I., Abdulkarim, B., &amp; Argungu, L. A. (2022). Macrophytes abundance in relation to eutrophication status of peri-urban impoundments in Katsina metropolis, Nigeria. </w:t>
      </w:r>
      <w:r w:rsidRPr="00A623D5">
        <w:rPr>
          <w:rFonts w:ascii="Times New Roman" w:hAnsi="Times New Roman" w:cs="Times New Roman"/>
          <w:i/>
          <w:iCs/>
          <w:noProof/>
        </w:rPr>
        <w:t>Bayero Journal of Pure and Applied Sciences</w:t>
      </w:r>
      <w:r w:rsidRPr="00A623D5">
        <w:rPr>
          <w:rFonts w:ascii="Times New Roman" w:hAnsi="Times New Roman" w:cs="Times New Roman"/>
          <w:noProof/>
        </w:rPr>
        <w:t xml:space="preserve">, </w:t>
      </w:r>
      <w:r w:rsidRPr="00A623D5">
        <w:rPr>
          <w:rFonts w:ascii="Times New Roman" w:hAnsi="Times New Roman" w:cs="Times New Roman"/>
          <w:i/>
          <w:iCs/>
          <w:noProof/>
        </w:rPr>
        <w:t>13</w:t>
      </w:r>
      <w:r w:rsidRPr="00A623D5">
        <w:rPr>
          <w:rFonts w:ascii="Times New Roman" w:hAnsi="Times New Roman" w:cs="Times New Roman"/>
          <w:noProof/>
        </w:rPr>
        <w:t>(1), 173–179. https://doi.org/10.4314/bajopas.v13i1.28S</w:t>
      </w:r>
    </w:p>
    <w:p w14:paraId="0BBAB1E3" w14:textId="77777777" w:rsidR="00B9027D" w:rsidRPr="00A623D5" w:rsidRDefault="00B9027D" w:rsidP="00A623D5">
      <w:pPr>
        <w:pStyle w:val="ListParagraph"/>
        <w:widowControl w:val="0"/>
        <w:numPr>
          <w:ilvl w:val="0"/>
          <w:numId w:val="10"/>
        </w:numPr>
        <w:autoSpaceDE w:val="0"/>
        <w:autoSpaceDN w:val="0"/>
        <w:adjustRightInd w:val="0"/>
        <w:spacing w:after="140" w:line="360" w:lineRule="auto"/>
        <w:rPr>
          <w:rFonts w:ascii="Times New Roman" w:hAnsi="Times New Roman" w:cs="Times New Roman"/>
          <w:noProof/>
        </w:rPr>
      </w:pPr>
      <w:r w:rsidRPr="00A623D5">
        <w:rPr>
          <w:rFonts w:ascii="Times New Roman" w:hAnsi="Times New Roman" w:cs="Times New Roman"/>
          <w:noProof/>
        </w:rPr>
        <w:t xml:space="preserve">Al-lami, A. K., Abbood, R. A., Al Maliki, A. A., &amp; Al-Ansari, N. (2021). Using vegetation indices for monitoring the spread of Nile Rose plant in the Tigris River within Wasit province, Iraq. </w:t>
      </w:r>
      <w:r w:rsidRPr="00A623D5">
        <w:rPr>
          <w:rFonts w:ascii="Times New Roman" w:hAnsi="Times New Roman" w:cs="Times New Roman"/>
          <w:i/>
          <w:iCs/>
          <w:noProof/>
        </w:rPr>
        <w:t>Remote Sensing Applications: Society and Environment</w:t>
      </w:r>
      <w:r w:rsidRPr="00A623D5">
        <w:rPr>
          <w:rFonts w:ascii="Times New Roman" w:hAnsi="Times New Roman" w:cs="Times New Roman"/>
          <w:noProof/>
        </w:rPr>
        <w:t xml:space="preserve">, </w:t>
      </w:r>
      <w:r w:rsidRPr="00A623D5">
        <w:rPr>
          <w:rFonts w:ascii="Times New Roman" w:hAnsi="Times New Roman" w:cs="Times New Roman"/>
          <w:i/>
          <w:iCs/>
          <w:noProof/>
        </w:rPr>
        <w:t>22</w:t>
      </w:r>
      <w:r w:rsidRPr="00A623D5">
        <w:rPr>
          <w:rFonts w:ascii="Times New Roman" w:hAnsi="Times New Roman" w:cs="Times New Roman"/>
          <w:noProof/>
        </w:rPr>
        <w:t>. https://doi.org/10.1016/j.rsase.2021.100471</w:t>
      </w:r>
    </w:p>
    <w:p w14:paraId="14471235" w14:textId="77777777" w:rsidR="00B9027D" w:rsidRPr="00A623D5" w:rsidRDefault="00B9027D" w:rsidP="00A623D5">
      <w:pPr>
        <w:pStyle w:val="ListParagraph"/>
        <w:widowControl w:val="0"/>
        <w:numPr>
          <w:ilvl w:val="0"/>
          <w:numId w:val="10"/>
        </w:numPr>
        <w:autoSpaceDE w:val="0"/>
        <w:autoSpaceDN w:val="0"/>
        <w:adjustRightInd w:val="0"/>
        <w:spacing w:after="140" w:line="360" w:lineRule="auto"/>
        <w:rPr>
          <w:rFonts w:ascii="Times New Roman" w:hAnsi="Times New Roman" w:cs="Times New Roman"/>
          <w:noProof/>
        </w:rPr>
      </w:pPr>
      <w:r w:rsidRPr="00A623D5">
        <w:rPr>
          <w:rFonts w:ascii="Times New Roman" w:hAnsi="Times New Roman" w:cs="Times New Roman"/>
          <w:noProof/>
        </w:rPr>
        <w:t xml:space="preserve">Albright, T. P., Moorhouse, T. G., &amp; McNabb, T. J. (2004). The rise and fall of water hyacinth in Lake Victoria and the Kagera River basin, 1989–2001. </w:t>
      </w:r>
      <w:r w:rsidRPr="00A623D5">
        <w:rPr>
          <w:rFonts w:ascii="Times New Roman" w:hAnsi="Times New Roman" w:cs="Times New Roman"/>
          <w:i/>
          <w:iCs/>
          <w:noProof/>
        </w:rPr>
        <w:t>Journal of Aquatic Plant Management</w:t>
      </w:r>
      <w:r w:rsidRPr="00A623D5">
        <w:rPr>
          <w:rFonts w:ascii="Times New Roman" w:hAnsi="Times New Roman" w:cs="Times New Roman"/>
          <w:noProof/>
        </w:rPr>
        <w:t xml:space="preserve">, </w:t>
      </w:r>
      <w:r w:rsidRPr="00A623D5">
        <w:rPr>
          <w:rFonts w:ascii="Times New Roman" w:hAnsi="Times New Roman" w:cs="Times New Roman"/>
          <w:i/>
          <w:iCs/>
          <w:noProof/>
        </w:rPr>
        <w:t>42</w:t>
      </w:r>
      <w:r w:rsidRPr="00A623D5">
        <w:rPr>
          <w:rFonts w:ascii="Times New Roman" w:hAnsi="Times New Roman" w:cs="Times New Roman"/>
          <w:noProof/>
        </w:rPr>
        <w:t>(JUL.), 73–84.</w:t>
      </w:r>
    </w:p>
    <w:p w14:paraId="05922C56" w14:textId="77777777" w:rsidR="00B9027D" w:rsidRPr="00A623D5" w:rsidRDefault="00B9027D" w:rsidP="00A623D5">
      <w:pPr>
        <w:pStyle w:val="ListParagraph"/>
        <w:widowControl w:val="0"/>
        <w:numPr>
          <w:ilvl w:val="0"/>
          <w:numId w:val="10"/>
        </w:numPr>
        <w:autoSpaceDE w:val="0"/>
        <w:autoSpaceDN w:val="0"/>
        <w:adjustRightInd w:val="0"/>
        <w:spacing w:after="140" w:line="360" w:lineRule="auto"/>
        <w:rPr>
          <w:rFonts w:ascii="Times New Roman" w:hAnsi="Times New Roman" w:cs="Times New Roman"/>
          <w:noProof/>
        </w:rPr>
      </w:pPr>
      <w:r w:rsidRPr="00A623D5">
        <w:rPr>
          <w:rFonts w:ascii="Times New Roman" w:hAnsi="Times New Roman" w:cs="Times New Roman"/>
          <w:noProof/>
        </w:rPr>
        <w:t xml:space="preserve">Alemneh, L. Y., Aklog, D., Griensven, A. van, Goshu, G., Yalew, S., Abebe, W. B., Dersseh, M. G., Mhiret, D. A., Michailovsky, C. I., Amare, S., &amp; Asress, S. (2025). Remote Sensing Approaches for Water Hyacinth and Water Quality Monitoring: Global Trends, Techniques, and Applications. </w:t>
      </w:r>
      <w:r w:rsidRPr="00A623D5">
        <w:rPr>
          <w:rFonts w:ascii="Times New Roman" w:hAnsi="Times New Roman" w:cs="Times New Roman"/>
          <w:i/>
          <w:iCs/>
          <w:noProof/>
        </w:rPr>
        <w:t>Water (Switzerland)</w:t>
      </w:r>
      <w:r w:rsidRPr="00A623D5">
        <w:rPr>
          <w:rFonts w:ascii="Times New Roman" w:hAnsi="Times New Roman" w:cs="Times New Roman"/>
          <w:noProof/>
        </w:rPr>
        <w:t xml:space="preserve">, </w:t>
      </w:r>
      <w:r w:rsidRPr="00A623D5">
        <w:rPr>
          <w:rFonts w:ascii="Times New Roman" w:hAnsi="Times New Roman" w:cs="Times New Roman"/>
          <w:i/>
          <w:iCs/>
          <w:noProof/>
        </w:rPr>
        <w:t>17</w:t>
      </w:r>
      <w:r w:rsidRPr="00A623D5">
        <w:rPr>
          <w:rFonts w:ascii="Times New Roman" w:hAnsi="Times New Roman" w:cs="Times New Roman"/>
          <w:noProof/>
        </w:rPr>
        <w:t>(17). https://doi.org/10.3390/w17172573</w:t>
      </w:r>
    </w:p>
    <w:p w14:paraId="53BB91BE" w14:textId="77777777" w:rsidR="00B9027D" w:rsidRPr="00A623D5" w:rsidRDefault="00B9027D" w:rsidP="00A623D5">
      <w:pPr>
        <w:pStyle w:val="ListParagraph"/>
        <w:widowControl w:val="0"/>
        <w:numPr>
          <w:ilvl w:val="0"/>
          <w:numId w:val="10"/>
        </w:numPr>
        <w:autoSpaceDE w:val="0"/>
        <w:autoSpaceDN w:val="0"/>
        <w:adjustRightInd w:val="0"/>
        <w:spacing w:after="140" w:line="360" w:lineRule="auto"/>
        <w:rPr>
          <w:rFonts w:ascii="Times New Roman" w:hAnsi="Times New Roman" w:cs="Times New Roman"/>
          <w:noProof/>
        </w:rPr>
      </w:pPr>
      <w:r w:rsidRPr="00A623D5">
        <w:rPr>
          <w:rFonts w:ascii="Times New Roman" w:hAnsi="Times New Roman" w:cs="Times New Roman"/>
          <w:noProof/>
        </w:rPr>
        <w:t xml:space="preserve">Balirwa, J. S., &amp; Wanda. (n.d.). </w:t>
      </w:r>
      <w:r w:rsidRPr="00A623D5">
        <w:rPr>
          <w:rFonts w:ascii="Times New Roman" w:hAnsi="Times New Roman" w:cs="Times New Roman"/>
          <w:i/>
          <w:iCs/>
          <w:noProof/>
        </w:rPr>
        <w:t>Water Quality and Quantity Synthesis Final Report, LVEMP December 2005 Water Quality and Ecosystems Management Component Impacts of water quality change on beneficial uses of Lake Victoria, Uganda</w:t>
      </w:r>
      <w:r w:rsidRPr="00A623D5">
        <w:rPr>
          <w:rFonts w:ascii="Times New Roman" w:hAnsi="Times New Roman" w:cs="Times New Roman"/>
          <w:noProof/>
        </w:rPr>
        <w:t>.</w:t>
      </w:r>
    </w:p>
    <w:p w14:paraId="5DD31032" w14:textId="77777777" w:rsidR="00B9027D" w:rsidRPr="00A623D5" w:rsidRDefault="00B9027D" w:rsidP="00A623D5">
      <w:pPr>
        <w:pStyle w:val="ListParagraph"/>
        <w:widowControl w:val="0"/>
        <w:numPr>
          <w:ilvl w:val="0"/>
          <w:numId w:val="10"/>
        </w:numPr>
        <w:autoSpaceDE w:val="0"/>
        <w:autoSpaceDN w:val="0"/>
        <w:adjustRightInd w:val="0"/>
        <w:spacing w:after="140" w:line="360" w:lineRule="auto"/>
        <w:rPr>
          <w:rFonts w:ascii="Times New Roman" w:hAnsi="Times New Roman" w:cs="Times New Roman"/>
          <w:noProof/>
        </w:rPr>
      </w:pPr>
      <w:r w:rsidRPr="00A623D5">
        <w:rPr>
          <w:rFonts w:ascii="Times New Roman" w:hAnsi="Times New Roman" w:cs="Times New Roman"/>
          <w:noProof/>
        </w:rPr>
        <w:t>Belayhun, M., Chere, Z., Abay, N. G., Nicola, Y., &amp; Asmamaw, A. (2024). Spatiotemporal pattern of water hyacinth (</w:t>
      </w:r>
      <w:r w:rsidRPr="00A623D5">
        <w:rPr>
          <w:rFonts w:ascii="Times New Roman" w:hAnsi="Times New Roman" w:cs="Times New Roman"/>
          <w:i/>
          <w:noProof/>
        </w:rPr>
        <w:t>Pontederia crassipes</w:t>
      </w:r>
      <w:r w:rsidRPr="00A623D5">
        <w:rPr>
          <w:rFonts w:ascii="Times New Roman" w:hAnsi="Times New Roman" w:cs="Times New Roman"/>
          <w:noProof/>
        </w:rPr>
        <w:t xml:space="preserve">) distribution in Lake Tana, Ethiopia, using a random forest machine learning model. </w:t>
      </w:r>
      <w:r w:rsidRPr="00A623D5">
        <w:rPr>
          <w:rFonts w:ascii="Times New Roman" w:hAnsi="Times New Roman" w:cs="Times New Roman"/>
          <w:i/>
          <w:iCs/>
          <w:noProof/>
        </w:rPr>
        <w:t>Frontiers in Environmental Science</w:t>
      </w:r>
      <w:r w:rsidRPr="00A623D5">
        <w:rPr>
          <w:rFonts w:ascii="Times New Roman" w:hAnsi="Times New Roman" w:cs="Times New Roman"/>
          <w:noProof/>
        </w:rPr>
        <w:t xml:space="preserve">, </w:t>
      </w:r>
      <w:r w:rsidRPr="00A623D5">
        <w:rPr>
          <w:rFonts w:ascii="Times New Roman" w:hAnsi="Times New Roman" w:cs="Times New Roman"/>
          <w:i/>
          <w:iCs/>
          <w:noProof/>
        </w:rPr>
        <w:t>12</w:t>
      </w:r>
      <w:r w:rsidRPr="00A623D5">
        <w:rPr>
          <w:rFonts w:ascii="Times New Roman" w:hAnsi="Times New Roman" w:cs="Times New Roman"/>
          <w:noProof/>
        </w:rPr>
        <w:t>. https://doi.org/10.3389/fenvs.2024.1476014</w:t>
      </w:r>
    </w:p>
    <w:p w14:paraId="052136C5" w14:textId="77777777" w:rsidR="00B9027D" w:rsidRPr="00A623D5" w:rsidRDefault="00B9027D" w:rsidP="00A623D5">
      <w:pPr>
        <w:pStyle w:val="ListParagraph"/>
        <w:widowControl w:val="0"/>
        <w:numPr>
          <w:ilvl w:val="0"/>
          <w:numId w:val="10"/>
        </w:numPr>
        <w:autoSpaceDE w:val="0"/>
        <w:autoSpaceDN w:val="0"/>
        <w:adjustRightInd w:val="0"/>
        <w:spacing w:after="140" w:line="360" w:lineRule="auto"/>
        <w:rPr>
          <w:rFonts w:ascii="Times New Roman" w:hAnsi="Times New Roman" w:cs="Times New Roman"/>
          <w:noProof/>
        </w:rPr>
      </w:pPr>
      <w:r w:rsidRPr="00A623D5">
        <w:rPr>
          <w:rFonts w:ascii="Times New Roman" w:hAnsi="Times New Roman" w:cs="Times New Roman"/>
          <w:noProof/>
        </w:rPr>
        <w:t>Datta, A., Maharaj, S., Prabhu, G. N., Bhowmik, D., Marino, A., Akbari, V., Rupavatharam, S., Sujeetha, J. A. R. P., Anantrao, G. G., Poduvattil, V. K., Kumar, S., &amp; Kleczkowski, A. (2021). Monitoring the Spread of Water Hyacinth (</w:t>
      </w:r>
      <w:r w:rsidRPr="00A623D5">
        <w:rPr>
          <w:rFonts w:ascii="Times New Roman" w:hAnsi="Times New Roman" w:cs="Times New Roman"/>
          <w:i/>
          <w:noProof/>
        </w:rPr>
        <w:t>Pontederia crassipes</w:t>
      </w:r>
      <w:r w:rsidRPr="00A623D5">
        <w:rPr>
          <w:rFonts w:ascii="Times New Roman" w:hAnsi="Times New Roman" w:cs="Times New Roman"/>
          <w:noProof/>
        </w:rPr>
        <w:t xml:space="preserve">): Challenges and Future Developments. In </w:t>
      </w:r>
      <w:r w:rsidRPr="00A623D5">
        <w:rPr>
          <w:rFonts w:ascii="Times New Roman" w:hAnsi="Times New Roman" w:cs="Times New Roman"/>
          <w:i/>
          <w:iCs/>
          <w:noProof/>
        </w:rPr>
        <w:t>Frontiers in Ecology and Evolution</w:t>
      </w:r>
      <w:r w:rsidRPr="00A623D5">
        <w:rPr>
          <w:rFonts w:ascii="Times New Roman" w:hAnsi="Times New Roman" w:cs="Times New Roman"/>
          <w:noProof/>
        </w:rPr>
        <w:t xml:space="preserve"> </w:t>
      </w:r>
      <w:r w:rsidRPr="00A623D5">
        <w:rPr>
          <w:rFonts w:ascii="Times New Roman" w:hAnsi="Times New Roman" w:cs="Times New Roman"/>
          <w:noProof/>
        </w:rPr>
        <w:lastRenderedPageBreak/>
        <w:t>(Vol. 9). Frontiers Media S.A. https://doi.org/10.3389/fevo.2021.631338</w:t>
      </w:r>
    </w:p>
    <w:p w14:paraId="663EC68E" w14:textId="77777777" w:rsidR="00B9027D" w:rsidRPr="00A623D5" w:rsidRDefault="00B9027D" w:rsidP="00A623D5">
      <w:pPr>
        <w:pStyle w:val="ListParagraph"/>
        <w:widowControl w:val="0"/>
        <w:numPr>
          <w:ilvl w:val="0"/>
          <w:numId w:val="10"/>
        </w:numPr>
        <w:autoSpaceDE w:val="0"/>
        <w:autoSpaceDN w:val="0"/>
        <w:adjustRightInd w:val="0"/>
        <w:spacing w:after="140" w:line="360" w:lineRule="auto"/>
        <w:rPr>
          <w:rFonts w:ascii="Times New Roman" w:hAnsi="Times New Roman" w:cs="Times New Roman"/>
          <w:noProof/>
        </w:rPr>
      </w:pPr>
      <w:r w:rsidRPr="00A623D5">
        <w:rPr>
          <w:rFonts w:ascii="Times New Roman" w:hAnsi="Times New Roman" w:cs="Times New Roman"/>
          <w:noProof/>
        </w:rPr>
        <w:t xml:space="preserve">Drusch, M., Del Bello, U., Carlier, S., Colin, O., Fernandez, V., Gascon, F., Hoersch, B., Isola, C., Laberinti, P., Martimort, P., Meygret, A., Spoto, F., Sy, O., Marchese, F., &amp; Bargellini, P. (2012). Sentinel-2: ESA’s Optical High-Resolution Mission for GMES Operational Services. </w:t>
      </w:r>
      <w:r w:rsidRPr="00A623D5">
        <w:rPr>
          <w:rFonts w:ascii="Times New Roman" w:hAnsi="Times New Roman" w:cs="Times New Roman"/>
          <w:i/>
          <w:iCs/>
          <w:noProof/>
        </w:rPr>
        <w:t>Remote Sensing of Environment</w:t>
      </w:r>
      <w:r w:rsidRPr="00A623D5">
        <w:rPr>
          <w:rFonts w:ascii="Times New Roman" w:hAnsi="Times New Roman" w:cs="Times New Roman"/>
          <w:noProof/>
        </w:rPr>
        <w:t xml:space="preserve">, </w:t>
      </w:r>
      <w:r w:rsidRPr="00A623D5">
        <w:rPr>
          <w:rFonts w:ascii="Times New Roman" w:hAnsi="Times New Roman" w:cs="Times New Roman"/>
          <w:i/>
          <w:iCs/>
          <w:noProof/>
        </w:rPr>
        <w:t>120</w:t>
      </w:r>
      <w:r w:rsidRPr="00A623D5">
        <w:rPr>
          <w:rFonts w:ascii="Times New Roman" w:hAnsi="Times New Roman" w:cs="Times New Roman"/>
          <w:noProof/>
        </w:rPr>
        <w:t>, 25–36. https://doi.org/10.1016/j.rse.2011.11.026</w:t>
      </w:r>
    </w:p>
    <w:p w14:paraId="11542F1F" w14:textId="77777777" w:rsidR="00B9027D" w:rsidRPr="00A623D5" w:rsidRDefault="00B9027D" w:rsidP="00A623D5">
      <w:pPr>
        <w:pStyle w:val="ListParagraph"/>
        <w:widowControl w:val="0"/>
        <w:numPr>
          <w:ilvl w:val="0"/>
          <w:numId w:val="10"/>
        </w:numPr>
        <w:autoSpaceDE w:val="0"/>
        <w:autoSpaceDN w:val="0"/>
        <w:adjustRightInd w:val="0"/>
        <w:spacing w:after="140" w:line="360" w:lineRule="auto"/>
        <w:rPr>
          <w:rFonts w:ascii="Times New Roman" w:hAnsi="Times New Roman" w:cs="Times New Roman"/>
          <w:noProof/>
        </w:rPr>
      </w:pPr>
      <w:r w:rsidRPr="00A623D5">
        <w:rPr>
          <w:rFonts w:ascii="Times New Roman" w:hAnsi="Times New Roman" w:cs="Times New Roman"/>
          <w:noProof/>
        </w:rPr>
        <w:t xml:space="preserve">Duarte, L., Ant, A. M., &amp; Sousa, J. J. (2022). </w:t>
      </w:r>
      <w:r w:rsidRPr="00A623D5">
        <w:rPr>
          <w:rFonts w:ascii="Times New Roman" w:hAnsi="Times New Roman" w:cs="Times New Roman"/>
          <w:i/>
          <w:iCs/>
          <w:noProof/>
        </w:rPr>
        <w:t>Spatio-Temporal Water Hyacinth Monitoring in the Lower Mondego (Portugal) Using Remote Sensing Data</w:t>
      </w:r>
      <w:r w:rsidRPr="00A623D5">
        <w:rPr>
          <w:rFonts w:ascii="Times New Roman" w:hAnsi="Times New Roman" w:cs="Times New Roman"/>
          <w:noProof/>
        </w:rPr>
        <w:t>.</w:t>
      </w:r>
    </w:p>
    <w:p w14:paraId="65A08390" w14:textId="77777777" w:rsidR="00B9027D" w:rsidRPr="00A623D5" w:rsidRDefault="00B9027D" w:rsidP="00A623D5">
      <w:pPr>
        <w:pStyle w:val="ListParagraph"/>
        <w:widowControl w:val="0"/>
        <w:numPr>
          <w:ilvl w:val="0"/>
          <w:numId w:val="10"/>
        </w:numPr>
        <w:autoSpaceDE w:val="0"/>
        <w:autoSpaceDN w:val="0"/>
        <w:adjustRightInd w:val="0"/>
        <w:spacing w:after="140" w:line="360" w:lineRule="auto"/>
        <w:rPr>
          <w:rFonts w:ascii="Times New Roman" w:hAnsi="Times New Roman" w:cs="Times New Roman"/>
          <w:noProof/>
        </w:rPr>
      </w:pPr>
      <w:r w:rsidRPr="00A623D5">
        <w:rPr>
          <w:rFonts w:ascii="Times New Roman" w:hAnsi="Times New Roman" w:cs="Times New Roman"/>
          <w:noProof/>
        </w:rPr>
        <w:t xml:space="preserve">Gao, B. C. (1996). NDWI — A normalized difference water index for remote sensing of vegetation liquid water from space. </w:t>
      </w:r>
      <w:r w:rsidRPr="00A623D5">
        <w:rPr>
          <w:rFonts w:ascii="Times New Roman" w:hAnsi="Times New Roman" w:cs="Times New Roman"/>
          <w:i/>
          <w:iCs/>
          <w:noProof/>
        </w:rPr>
        <w:t>Remote Sensing of Environment</w:t>
      </w:r>
      <w:r w:rsidRPr="00A623D5">
        <w:rPr>
          <w:rFonts w:ascii="Times New Roman" w:hAnsi="Times New Roman" w:cs="Times New Roman"/>
          <w:noProof/>
        </w:rPr>
        <w:t xml:space="preserve">, </w:t>
      </w:r>
      <w:r w:rsidRPr="00A623D5">
        <w:rPr>
          <w:rFonts w:ascii="Times New Roman" w:hAnsi="Times New Roman" w:cs="Times New Roman"/>
          <w:i/>
          <w:iCs/>
          <w:noProof/>
        </w:rPr>
        <w:t>58</w:t>
      </w:r>
      <w:r w:rsidRPr="00A623D5">
        <w:rPr>
          <w:rFonts w:ascii="Times New Roman" w:hAnsi="Times New Roman" w:cs="Times New Roman"/>
          <w:noProof/>
        </w:rPr>
        <w:t>(3), 257–266. https://doi.org/10.1016/S0034-4257(96)00067-3</w:t>
      </w:r>
    </w:p>
    <w:p w14:paraId="59E41A35" w14:textId="77777777" w:rsidR="00B9027D" w:rsidRPr="00A623D5" w:rsidRDefault="00B9027D" w:rsidP="00A623D5">
      <w:pPr>
        <w:pStyle w:val="ListParagraph"/>
        <w:widowControl w:val="0"/>
        <w:numPr>
          <w:ilvl w:val="0"/>
          <w:numId w:val="10"/>
        </w:numPr>
        <w:autoSpaceDE w:val="0"/>
        <w:autoSpaceDN w:val="0"/>
        <w:adjustRightInd w:val="0"/>
        <w:spacing w:after="140" w:line="360" w:lineRule="auto"/>
        <w:rPr>
          <w:rFonts w:ascii="Times New Roman" w:hAnsi="Times New Roman" w:cs="Times New Roman"/>
          <w:noProof/>
        </w:rPr>
      </w:pPr>
      <w:r w:rsidRPr="00A623D5">
        <w:rPr>
          <w:rFonts w:ascii="Times New Roman" w:hAnsi="Times New Roman" w:cs="Times New Roman"/>
          <w:noProof/>
        </w:rPr>
        <w:t xml:space="preserve">Gerardo, R., &amp; De Lima, I. P. (n.d.). </w:t>
      </w:r>
      <w:r w:rsidRPr="00A623D5">
        <w:rPr>
          <w:rFonts w:ascii="Times New Roman" w:hAnsi="Times New Roman" w:cs="Times New Roman"/>
          <w:i/>
          <w:iCs/>
          <w:noProof/>
        </w:rPr>
        <w:t>Assessing the potential of Sentinel-2 data for tracking invasive water hyacinth in a river branch</w:t>
      </w:r>
      <w:r w:rsidRPr="00A623D5">
        <w:rPr>
          <w:rFonts w:ascii="Times New Roman" w:hAnsi="Times New Roman" w:cs="Times New Roman"/>
          <w:noProof/>
        </w:rPr>
        <w:t>. https://doi.org/10.1117/1.JRS.16</w:t>
      </w:r>
    </w:p>
    <w:p w14:paraId="1ECE3680" w14:textId="77777777" w:rsidR="00B9027D" w:rsidRPr="00A623D5" w:rsidRDefault="00B9027D" w:rsidP="00A623D5">
      <w:pPr>
        <w:pStyle w:val="ListParagraph"/>
        <w:widowControl w:val="0"/>
        <w:numPr>
          <w:ilvl w:val="0"/>
          <w:numId w:val="10"/>
        </w:numPr>
        <w:autoSpaceDE w:val="0"/>
        <w:autoSpaceDN w:val="0"/>
        <w:adjustRightInd w:val="0"/>
        <w:spacing w:after="140" w:line="360" w:lineRule="auto"/>
        <w:rPr>
          <w:rFonts w:ascii="Times New Roman" w:hAnsi="Times New Roman" w:cs="Times New Roman"/>
          <w:noProof/>
        </w:rPr>
      </w:pPr>
      <w:r w:rsidRPr="00A623D5">
        <w:rPr>
          <w:rFonts w:ascii="Times New Roman" w:hAnsi="Times New Roman" w:cs="Times New Roman"/>
          <w:noProof/>
        </w:rPr>
        <w:t xml:space="preserve">Gichuki, J., Omondi, R., Boera, P., Okorut, T., Matano, A. S., Jembe, T., &amp; Ofulla, A. (2012). Water hyacinth </w:t>
      </w:r>
      <w:r w:rsidRPr="00A623D5">
        <w:rPr>
          <w:rFonts w:ascii="Times New Roman" w:hAnsi="Times New Roman" w:cs="Times New Roman"/>
          <w:i/>
          <w:noProof/>
        </w:rPr>
        <w:t>Eichhornia crassipes</w:t>
      </w:r>
      <w:r w:rsidRPr="00A623D5">
        <w:rPr>
          <w:rFonts w:ascii="Times New Roman" w:hAnsi="Times New Roman" w:cs="Times New Roman"/>
          <w:noProof/>
        </w:rPr>
        <w:t xml:space="preserve"> (Mart.) Solms-Laubach dynamics and succession in the Nyanza Gulf of Lake Victoria (East Africa): Implications for water quality and biodiversity conservation. </w:t>
      </w:r>
      <w:r w:rsidRPr="00A623D5">
        <w:rPr>
          <w:rFonts w:ascii="Times New Roman" w:hAnsi="Times New Roman" w:cs="Times New Roman"/>
          <w:i/>
          <w:iCs/>
          <w:noProof/>
        </w:rPr>
        <w:t>The Scientific World Journal</w:t>
      </w:r>
      <w:r w:rsidRPr="00A623D5">
        <w:rPr>
          <w:rFonts w:ascii="Times New Roman" w:hAnsi="Times New Roman" w:cs="Times New Roman"/>
          <w:noProof/>
        </w:rPr>
        <w:t xml:space="preserve">, </w:t>
      </w:r>
      <w:r w:rsidRPr="00A623D5">
        <w:rPr>
          <w:rFonts w:ascii="Times New Roman" w:hAnsi="Times New Roman" w:cs="Times New Roman"/>
          <w:i/>
          <w:iCs/>
          <w:noProof/>
        </w:rPr>
        <w:t>2012</w:t>
      </w:r>
      <w:r w:rsidRPr="00A623D5">
        <w:rPr>
          <w:rFonts w:ascii="Times New Roman" w:hAnsi="Times New Roman" w:cs="Times New Roman"/>
          <w:noProof/>
        </w:rPr>
        <w:t>. https://doi.org/10.1100/2012/106429</w:t>
      </w:r>
    </w:p>
    <w:p w14:paraId="680D9EC5" w14:textId="77777777" w:rsidR="00B9027D" w:rsidRPr="00A623D5" w:rsidRDefault="00B9027D" w:rsidP="00A623D5">
      <w:pPr>
        <w:pStyle w:val="ListParagraph"/>
        <w:widowControl w:val="0"/>
        <w:numPr>
          <w:ilvl w:val="0"/>
          <w:numId w:val="10"/>
        </w:numPr>
        <w:autoSpaceDE w:val="0"/>
        <w:autoSpaceDN w:val="0"/>
        <w:adjustRightInd w:val="0"/>
        <w:spacing w:after="140" w:line="360" w:lineRule="auto"/>
        <w:rPr>
          <w:rFonts w:ascii="Times New Roman" w:hAnsi="Times New Roman" w:cs="Times New Roman"/>
          <w:noProof/>
        </w:rPr>
      </w:pPr>
      <w:r w:rsidRPr="00A623D5">
        <w:rPr>
          <w:rFonts w:ascii="Times New Roman" w:hAnsi="Times New Roman" w:cs="Times New Roman"/>
          <w:noProof/>
        </w:rPr>
        <w:t xml:space="preserve">Havel, J. E., Kovalenko, K. E., Thomaz, S. M., Amalfitano, S., &amp; Kats, L. B. (2015). Aquatic invasive species: challenges for the future. In </w:t>
      </w:r>
      <w:r w:rsidRPr="00A623D5">
        <w:rPr>
          <w:rFonts w:ascii="Times New Roman" w:hAnsi="Times New Roman" w:cs="Times New Roman"/>
          <w:i/>
          <w:iCs/>
          <w:noProof/>
        </w:rPr>
        <w:t>Hydrobiologia</w:t>
      </w:r>
      <w:r w:rsidRPr="00A623D5">
        <w:rPr>
          <w:rFonts w:ascii="Times New Roman" w:hAnsi="Times New Roman" w:cs="Times New Roman"/>
          <w:noProof/>
        </w:rPr>
        <w:t xml:space="preserve"> (Vol. 750, Issue 1, pp. 147–170). Kluwer Academic Publishers. https://doi.org/10.1007/s10750-014-2166-0</w:t>
      </w:r>
    </w:p>
    <w:p w14:paraId="6D90D656" w14:textId="77777777" w:rsidR="00B9027D" w:rsidRPr="00A623D5" w:rsidRDefault="00B9027D" w:rsidP="00A623D5">
      <w:pPr>
        <w:pStyle w:val="ListParagraph"/>
        <w:widowControl w:val="0"/>
        <w:numPr>
          <w:ilvl w:val="0"/>
          <w:numId w:val="10"/>
        </w:numPr>
        <w:autoSpaceDE w:val="0"/>
        <w:autoSpaceDN w:val="0"/>
        <w:adjustRightInd w:val="0"/>
        <w:spacing w:after="140" w:line="360" w:lineRule="auto"/>
        <w:rPr>
          <w:rFonts w:ascii="Times New Roman" w:hAnsi="Times New Roman" w:cs="Times New Roman"/>
          <w:noProof/>
        </w:rPr>
      </w:pPr>
      <w:r w:rsidRPr="00A623D5">
        <w:rPr>
          <w:rFonts w:ascii="Times New Roman" w:hAnsi="Times New Roman" w:cs="Times New Roman"/>
          <w:noProof/>
        </w:rPr>
        <w:t xml:space="preserve">Hu, C. (2009). A novel ocean color index to detect floating algae in the global oceans. </w:t>
      </w:r>
      <w:r w:rsidRPr="00A623D5">
        <w:rPr>
          <w:rFonts w:ascii="Times New Roman" w:hAnsi="Times New Roman" w:cs="Times New Roman"/>
          <w:i/>
          <w:iCs/>
          <w:noProof/>
        </w:rPr>
        <w:t>Remote Sensing of Environment</w:t>
      </w:r>
      <w:r w:rsidRPr="00A623D5">
        <w:rPr>
          <w:rFonts w:ascii="Times New Roman" w:hAnsi="Times New Roman" w:cs="Times New Roman"/>
          <w:noProof/>
        </w:rPr>
        <w:t xml:space="preserve">, </w:t>
      </w:r>
      <w:r w:rsidRPr="00A623D5">
        <w:rPr>
          <w:rFonts w:ascii="Times New Roman" w:hAnsi="Times New Roman" w:cs="Times New Roman"/>
          <w:i/>
          <w:iCs/>
          <w:noProof/>
        </w:rPr>
        <w:t>113</w:t>
      </w:r>
      <w:r w:rsidRPr="00A623D5">
        <w:rPr>
          <w:rFonts w:ascii="Times New Roman" w:hAnsi="Times New Roman" w:cs="Times New Roman"/>
          <w:noProof/>
        </w:rPr>
        <w:t>(10), 2118–2129. https://doi.org/10.1016/j.rse.2009.05.012</w:t>
      </w:r>
    </w:p>
    <w:p w14:paraId="687B9B39" w14:textId="77777777" w:rsidR="00B9027D" w:rsidRPr="00A623D5" w:rsidRDefault="00B9027D" w:rsidP="00A623D5">
      <w:pPr>
        <w:pStyle w:val="ListParagraph"/>
        <w:widowControl w:val="0"/>
        <w:numPr>
          <w:ilvl w:val="0"/>
          <w:numId w:val="10"/>
        </w:numPr>
        <w:autoSpaceDE w:val="0"/>
        <w:autoSpaceDN w:val="0"/>
        <w:adjustRightInd w:val="0"/>
        <w:spacing w:after="140" w:line="360" w:lineRule="auto"/>
        <w:rPr>
          <w:rFonts w:ascii="Times New Roman" w:hAnsi="Times New Roman" w:cs="Times New Roman"/>
          <w:noProof/>
        </w:rPr>
      </w:pPr>
      <w:r w:rsidRPr="00A623D5">
        <w:rPr>
          <w:rFonts w:ascii="Times New Roman" w:hAnsi="Times New Roman" w:cs="Times New Roman"/>
          <w:noProof/>
        </w:rPr>
        <w:t xml:space="preserve">Huete, A., Didan, K., Miura, T., Rodriguez, E. P., Gao, X., &amp; Ferreira, L. G. (2002). Overview of the radiometric and biophysical performance of the MODIS vegetation indices. </w:t>
      </w:r>
      <w:r w:rsidRPr="00A623D5">
        <w:rPr>
          <w:rFonts w:ascii="Times New Roman" w:hAnsi="Times New Roman" w:cs="Times New Roman"/>
          <w:i/>
          <w:iCs/>
          <w:noProof/>
        </w:rPr>
        <w:t>Remote Sensing of Environment</w:t>
      </w:r>
      <w:r w:rsidRPr="00A623D5">
        <w:rPr>
          <w:rFonts w:ascii="Times New Roman" w:hAnsi="Times New Roman" w:cs="Times New Roman"/>
          <w:noProof/>
        </w:rPr>
        <w:t xml:space="preserve">, </w:t>
      </w:r>
      <w:r w:rsidRPr="00A623D5">
        <w:rPr>
          <w:rFonts w:ascii="Times New Roman" w:hAnsi="Times New Roman" w:cs="Times New Roman"/>
          <w:i/>
          <w:iCs/>
          <w:noProof/>
        </w:rPr>
        <w:t>83</w:t>
      </w:r>
      <w:r w:rsidRPr="00A623D5">
        <w:rPr>
          <w:rFonts w:ascii="Times New Roman" w:hAnsi="Times New Roman" w:cs="Times New Roman"/>
          <w:noProof/>
        </w:rPr>
        <w:t>(1–2), 195–213. https://doi.org/10.1016/S0034-4257(02)00096-2</w:t>
      </w:r>
    </w:p>
    <w:p w14:paraId="68FECED1" w14:textId="77777777" w:rsidR="00B9027D" w:rsidRPr="00A623D5" w:rsidRDefault="00B9027D" w:rsidP="00A623D5">
      <w:pPr>
        <w:pStyle w:val="ListParagraph"/>
        <w:widowControl w:val="0"/>
        <w:numPr>
          <w:ilvl w:val="0"/>
          <w:numId w:val="10"/>
        </w:numPr>
        <w:autoSpaceDE w:val="0"/>
        <w:autoSpaceDN w:val="0"/>
        <w:adjustRightInd w:val="0"/>
        <w:spacing w:after="140" w:line="360" w:lineRule="auto"/>
        <w:rPr>
          <w:rFonts w:ascii="Times New Roman" w:hAnsi="Times New Roman" w:cs="Times New Roman"/>
          <w:noProof/>
        </w:rPr>
      </w:pPr>
      <w:r w:rsidRPr="00A623D5">
        <w:rPr>
          <w:rFonts w:ascii="Times New Roman" w:hAnsi="Times New Roman" w:cs="Times New Roman"/>
          <w:noProof/>
        </w:rPr>
        <w:lastRenderedPageBreak/>
        <w:t xml:space="preserve">Huete, A. R. (1988). A soil-adjusted vegetation index (SAVI). </w:t>
      </w:r>
      <w:r w:rsidRPr="00A623D5">
        <w:rPr>
          <w:rFonts w:ascii="Times New Roman" w:hAnsi="Times New Roman" w:cs="Times New Roman"/>
          <w:i/>
          <w:iCs/>
          <w:noProof/>
        </w:rPr>
        <w:t>Remote Sensing of Environment</w:t>
      </w:r>
      <w:r w:rsidRPr="00A623D5">
        <w:rPr>
          <w:rFonts w:ascii="Times New Roman" w:hAnsi="Times New Roman" w:cs="Times New Roman"/>
          <w:noProof/>
        </w:rPr>
        <w:t xml:space="preserve">, </w:t>
      </w:r>
      <w:r w:rsidRPr="00A623D5">
        <w:rPr>
          <w:rFonts w:ascii="Times New Roman" w:hAnsi="Times New Roman" w:cs="Times New Roman"/>
          <w:i/>
          <w:iCs/>
          <w:noProof/>
        </w:rPr>
        <w:t>25</w:t>
      </w:r>
      <w:r w:rsidRPr="00A623D5">
        <w:rPr>
          <w:rFonts w:ascii="Times New Roman" w:hAnsi="Times New Roman" w:cs="Times New Roman"/>
          <w:noProof/>
        </w:rPr>
        <w:t>(3), 295–309. https://doi.org/10.1016/0034-4257(88)90106-X</w:t>
      </w:r>
    </w:p>
    <w:p w14:paraId="12512476" w14:textId="77777777" w:rsidR="00B9027D" w:rsidRPr="00A623D5" w:rsidRDefault="00B9027D" w:rsidP="00A623D5">
      <w:pPr>
        <w:pStyle w:val="ListParagraph"/>
        <w:widowControl w:val="0"/>
        <w:numPr>
          <w:ilvl w:val="0"/>
          <w:numId w:val="10"/>
        </w:numPr>
        <w:autoSpaceDE w:val="0"/>
        <w:autoSpaceDN w:val="0"/>
        <w:adjustRightInd w:val="0"/>
        <w:spacing w:after="140" w:line="360" w:lineRule="auto"/>
        <w:rPr>
          <w:rFonts w:ascii="Times New Roman" w:hAnsi="Times New Roman" w:cs="Times New Roman"/>
          <w:noProof/>
        </w:rPr>
      </w:pPr>
      <w:r w:rsidRPr="00A623D5">
        <w:rPr>
          <w:rFonts w:ascii="Times New Roman" w:hAnsi="Times New Roman" w:cs="Times New Roman"/>
          <w:noProof/>
        </w:rPr>
        <w:t xml:space="preserve">King, S., Okello, P. O., &amp; Ogwal, F. (n.d.). </w:t>
      </w:r>
      <w:r w:rsidRPr="00A623D5">
        <w:rPr>
          <w:rFonts w:ascii="Times New Roman" w:hAnsi="Times New Roman" w:cs="Times New Roman"/>
          <w:i/>
          <w:iCs/>
          <w:noProof/>
        </w:rPr>
        <w:t>Fisheries Resources Accounts for Uganda</w:t>
      </w:r>
      <w:r w:rsidRPr="00A623D5">
        <w:rPr>
          <w:rFonts w:ascii="Times New Roman" w:hAnsi="Times New Roman" w:cs="Times New Roman"/>
          <w:noProof/>
        </w:rPr>
        <w:t>. https://www.researchgate.net/publication/359768706</w:t>
      </w:r>
    </w:p>
    <w:p w14:paraId="4DF071FF" w14:textId="77777777" w:rsidR="00B9027D" w:rsidRPr="00A623D5" w:rsidRDefault="00B9027D" w:rsidP="00A623D5">
      <w:pPr>
        <w:pStyle w:val="ListParagraph"/>
        <w:widowControl w:val="0"/>
        <w:numPr>
          <w:ilvl w:val="0"/>
          <w:numId w:val="10"/>
        </w:numPr>
        <w:autoSpaceDE w:val="0"/>
        <w:autoSpaceDN w:val="0"/>
        <w:adjustRightInd w:val="0"/>
        <w:spacing w:after="140" w:line="360" w:lineRule="auto"/>
        <w:rPr>
          <w:rFonts w:ascii="Times New Roman" w:hAnsi="Times New Roman" w:cs="Times New Roman"/>
          <w:noProof/>
        </w:rPr>
      </w:pPr>
      <w:r w:rsidRPr="00A623D5">
        <w:rPr>
          <w:rFonts w:ascii="Times New Roman" w:hAnsi="Times New Roman" w:cs="Times New Roman"/>
          <w:noProof/>
        </w:rPr>
        <w:t xml:space="preserve">Malthus, T. J., &amp; George, D. G. (1997). Airborne remote sensing of macrophytes in Cefni Reservoir, Anglesey, UK. </w:t>
      </w:r>
      <w:r w:rsidRPr="00A623D5">
        <w:rPr>
          <w:rFonts w:ascii="Times New Roman" w:hAnsi="Times New Roman" w:cs="Times New Roman"/>
          <w:i/>
          <w:iCs/>
          <w:noProof/>
        </w:rPr>
        <w:t>Aquatic Botany</w:t>
      </w:r>
      <w:r w:rsidRPr="00A623D5">
        <w:rPr>
          <w:rFonts w:ascii="Times New Roman" w:hAnsi="Times New Roman" w:cs="Times New Roman"/>
          <w:noProof/>
        </w:rPr>
        <w:t xml:space="preserve">, </w:t>
      </w:r>
      <w:r w:rsidRPr="00A623D5">
        <w:rPr>
          <w:rFonts w:ascii="Times New Roman" w:hAnsi="Times New Roman" w:cs="Times New Roman"/>
          <w:i/>
          <w:iCs/>
          <w:noProof/>
        </w:rPr>
        <w:t>58</w:t>
      </w:r>
      <w:r w:rsidRPr="00A623D5">
        <w:rPr>
          <w:rFonts w:ascii="Times New Roman" w:hAnsi="Times New Roman" w:cs="Times New Roman"/>
          <w:noProof/>
        </w:rPr>
        <w:t>(3–4), 317–332. https://doi.org/10.1016/S0304-3770(97)00043-0</w:t>
      </w:r>
    </w:p>
    <w:p w14:paraId="1C522725" w14:textId="77777777" w:rsidR="00B9027D" w:rsidRPr="00A623D5" w:rsidRDefault="00B9027D" w:rsidP="00A623D5">
      <w:pPr>
        <w:pStyle w:val="ListParagraph"/>
        <w:widowControl w:val="0"/>
        <w:numPr>
          <w:ilvl w:val="0"/>
          <w:numId w:val="10"/>
        </w:numPr>
        <w:autoSpaceDE w:val="0"/>
        <w:autoSpaceDN w:val="0"/>
        <w:adjustRightInd w:val="0"/>
        <w:spacing w:after="140" w:line="360" w:lineRule="auto"/>
        <w:rPr>
          <w:rFonts w:ascii="Times New Roman" w:hAnsi="Times New Roman" w:cs="Times New Roman"/>
          <w:noProof/>
        </w:rPr>
      </w:pPr>
      <w:r w:rsidRPr="00A623D5">
        <w:rPr>
          <w:rFonts w:ascii="Times New Roman" w:hAnsi="Times New Roman" w:cs="Times New Roman"/>
          <w:noProof/>
        </w:rPr>
        <w:t xml:space="preserve">McFeeters, S. K. (1996). The use of the Normalized Difference Water Index (NDWI) in the delineation of open water features. </w:t>
      </w:r>
      <w:r w:rsidRPr="00A623D5">
        <w:rPr>
          <w:rFonts w:ascii="Times New Roman" w:hAnsi="Times New Roman" w:cs="Times New Roman"/>
          <w:i/>
          <w:iCs/>
          <w:noProof/>
        </w:rPr>
        <w:t>International Journal of Remote Sensing</w:t>
      </w:r>
      <w:r w:rsidRPr="00A623D5">
        <w:rPr>
          <w:rFonts w:ascii="Times New Roman" w:hAnsi="Times New Roman" w:cs="Times New Roman"/>
          <w:noProof/>
        </w:rPr>
        <w:t xml:space="preserve">, </w:t>
      </w:r>
      <w:r w:rsidRPr="00A623D5">
        <w:rPr>
          <w:rFonts w:ascii="Times New Roman" w:hAnsi="Times New Roman" w:cs="Times New Roman"/>
          <w:i/>
          <w:iCs/>
          <w:noProof/>
        </w:rPr>
        <w:t>17</w:t>
      </w:r>
      <w:r w:rsidRPr="00A623D5">
        <w:rPr>
          <w:rFonts w:ascii="Times New Roman" w:hAnsi="Times New Roman" w:cs="Times New Roman"/>
          <w:noProof/>
        </w:rPr>
        <w:t>(7), 1425–1432. https://doi.org/10.1080/01431169608948714</w:t>
      </w:r>
    </w:p>
    <w:p w14:paraId="16B47250" w14:textId="77777777" w:rsidR="00B9027D" w:rsidRPr="00A623D5" w:rsidRDefault="00B9027D" w:rsidP="00A623D5">
      <w:pPr>
        <w:pStyle w:val="ListParagraph"/>
        <w:widowControl w:val="0"/>
        <w:numPr>
          <w:ilvl w:val="0"/>
          <w:numId w:val="10"/>
        </w:numPr>
        <w:autoSpaceDE w:val="0"/>
        <w:autoSpaceDN w:val="0"/>
        <w:adjustRightInd w:val="0"/>
        <w:spacing w:after="140" w:line="360" w:lineRule="auto"/>
        <w:rPr>
          <w:rFonts w:ascii="Times New Roman" w:hAnsi="Times New Roman" w:cs="Times New Roman"/>
          <w:noProof/>
        </w:rPr>
      </w:pPr>
      <w:r w:rsidRPr="00A623D5">
        <w:rPr>
          <w:rFonts w:ascii="Times New Roman" w:hAnsi="Times New Roman" w:cs="Times New Roman"/>
          <w:noProof/>
        </w:rPr>
        <w:t xml:space="preserve">Mihi, A., Ghazela, R., &amp; Wissal, D. (2022). Mapping potential desertification-prone areas in North-Eastern Algeria using logistic regression model, GIS, and remote sensing techniques. </w:t>
      </w:r>
      <w:r w:rsidRPr="00A623D5">
        <w:rPr>
          <w:rFonts w:ascii="Times New Roman" w:hAnsi="Times New Roman" w:cs="Times New Roman"/>
          <w:i/>
          <w:iCs/>
          <w:noProof/>
        </w:rPr>
        <w:t>Environmental Earth Sciences</w:t>
      </w:r>
      <w:r w:rsidRPr="00A623D5">
        <w:rPr>
          <w:rFonts w:ascii="Times New Roman" w:hAnsi="Times New Roman" w:cs="Times New Roman"/>
          <w:noProof/>
        </w:rPr>
        <w:t xml:space="preserve">, </w:t>
      </w:r>
      <w:r w:rsidRPr="00A623D5">
        <w:rPr>
          <w:rFonts w:ascii="Times New Roman" w:hAnsi="Times New Roman" w:cs="Times New Roman"/>
          <w:i/>
          <w:iCs/>
          <w:noProof/>
        </w:rPr>
        <w:t>81</w:t>
      </w:r>
      <w:r w:rsidRPr="00A623D5">
        <w:rPr>
          <w:rFonts w:ascii="Times New Roman" w:hAnsi="Times New Roman" w:cs="Times New Roman"/>
          <w:noProof/>
        </w:rPr>
        <w:t>(15). https://doi.org/10.1007/s12665-022-10513-7</w:t>
      </w:r>
    </w:p>
    <w:p w14:paraId="23921F8F" w14:textId="77777777" w:rsidR="00B9027D" w:rsidRPr="00A623D5" w:rsidRDefault="00B9027D" w:rsidP="00A623D5">
      <w:pPr>
        <w:pStyle w:val="ListParagraph"/>
        <w:widowControl w:val="0"/>
        <w:numPr>
          <w:ilvl w:val="0"/>
          <w:numId w:val="10"/>
        </w:numPr>
        <w:autoSpaceDE w:val="0"/>
        <w:autoSpaceDN w:val="0"/>
        <w:adjustRightInd w:val="0"/>
        <w:spacing w:after="140" w:line="360" w:lineRule="auto"/>
        <w:rPr>
          <w:rFonts w:ascii="Times New Roman" w:hAnsi="Times New Roman" w:cs="Times New Roman"/>
          <w:noProof/>
        </w:rPr>
      </w:pPr>
      <w:r w:rsidRPr="00A623D5">
        <w:rPr>
          <w:rFonts w:ascii="Times New Roman" w:hAnsi="Times New Roman" w:cs="Times New Roman"/>
          <w:noProof/>
        </w:rPr>
        <w:t xml:space="preserve">Nyawacha, S. O., Meta, V., &amp; Osio, A. (2021). Spatial temporal mapping of spread of water hyacinth in Winum Gulf, Lake Victoria. </w:t>
      </w:r>
      <w:r w:rsidRPr="00A623D5">
        <w:rPr>
          <w:rFonts w:ascii="Times New Roman" w:hAnsi="Times New Roman" w:cs="Times New Roman"/>
          <w:i/>
          <w:iCs/>
          <w:noProof/>
        </w:rPr>
        <w:t>The International Archives of the Photogrammetry, Remote Sensing and Spatial Information Sciences</w:t>
      </w:r>
      <w:r w:rsidRPr="00A623D5">
        <w:rPr>
          <w:rFonts w:ascii="Times New Roman" w:hAnsi="Times New Roman" w:cs="Times New Roman"/>
          <w:noProof/>
        </w:rPr>
        <w:t xml:space="preserve">, </w:t>
      </w:r>
      <w:r w:rsidRPr="00A623D5">
        <w:rPr>
          <w:rFonts w:ascii="Times New Roman" w:hAnsi="Times New Roman" w:cs="Times New Roman"/>
          <w:i/>
          <w:iCs/>
          <w:noProof/>
        </w:rPr>
        <w:t>XLIII</w:t>
      </w:r>
      <w:r w:rsidRPr="00A623D5">
        <w:rPr>
          <w:rFonts w:ascii="Times New Roman" w:hAnsi="Times New Roman" w:cs="Times New Roman"/>
          <w:noProof/>
        </w:rPr>
        <w:t>-</w:t>
      </w:r>
      <w:r w:rsidRPr="00A623D5">
        <w:rPr>
          <w:rFonts w:ascii="Times New Roman" w:hAnsi="Times New Roman" w:cs="Times New Roman"/>
          <w:i/>
          <w:iCs/>
          <w:noProof/>
        </w:rPr>
        <w:t>B3</w:t>
      </w:r>
      <w:r w:rsidRPr="00A623D5">
        <w:rPr>
          <w:rFonts w:ascii="Times New Roman" w:hAnsi="Times New Roman" w:cs="Times New Roman"/>
          <w:noProof/>
        </w:rPr>
        <w:t>-</w:t>
      </w:r>
      <w:r w:rsidRPr="00A623D5">
        <w:rPr>
          <w:rFonts w:ascii="Times New Roman" w:hAnsi="Times New Roman" w:cs="Times New Roman"/>
          <w:i/>
          <w:iCs/>
          <w:noProof/>
        </w:rPr>
        <w:t>2</w:t>
      </w:r>
      <w:r w:rsidRPr="00A623D5">
        <w:rPr>
          <w:rFonts w:ascii="Times New Roman" w:hAnsi="Times New Roman" w:cs="Times New Roman"/>
          <w:noProof/>
        </w:rPr>
        <w:t>, 341–346. https://doi.org/10.5194/isprs-archives-XLIII-B3-2021-341-2021</w:t>
      </w:r>
    </w:p>
    <w:p w14:paraId="37D18924" w14:textId="77777777" w:rsidR="00B9027D" w:rsidRPr="00A623D5" w:rsidRDefault="00B9027D" w:rsidP="00A623D5">
      <w:pPr>
        <w:pStyle w:val="ListParagraph"/>
        <w:widowControl w:val="0"/>
        <w:numPr>
          <w:ilvl w:val="0"/>
          <w:numId w:val="10"/>
        </w:numPr>
        <w:autoSpaceDE w:val="0"/>
        <w:autoSpaceDN w:val="0"/>
        <w:adjustRightInd w:val="0"/>
        <w:spacing w:after="140" w:line="360" w:lineRule="auto"/>
        <w:rPr>
          <w:rFonts w:ascii="Times New Roman" w:hAnsi="Times New Roman" w:cs="Times New Roman"/>
          <w:noProof/>
        </w:rPr>
      </w:pPr>
      <w:r w:rsidRPr="00A623D5">
        <w:rPr>
          <w:rFonts w:ascii="Times New Roman" w:hAnsi="Times New Roman" w:cs="Times New Roman"/>
          <w:noProof/>
        </w:rPr>
        <w:t xml:space="preserve">Okaronon, J. (2009). A decline in fish catches and the size of </w:t>
      </w:r>
      <w:r w:rsidRPr="00A623D5">
        <w:rPr>
          <w:rFonts w:ascii="Times New Roman" w:hAnsi="Times New Roman" w:cs="Times New Roman"/>
          <w:i/>
          <w:noProof/>
        </w:rPr>
        <w:t>Oreochromis niloticus</w:t>
      </w:r>
      <w:r w:rsidRPr="00A623D5">
        <w:rPr>
          <w:rFonts w:ascii="Times New Roman" w:hAnsi="Times New Roman" w:cs="Times New Roman"/>
          <w:noProof/>
        </w:rPr>
        <w:t xml:space="preserve"> in Lake Wamala (Uganda) following human exploitation. </w:t>
      </w:r>
      <w:r w:rsidRPr="00A623D5">
        <w:rPr>
          <w:rFonts w:ascii="Times New Roman" w:hAnsi="Times New Roman" w:cs="Times New Roman"/>
          <w:i/>
          <w:iCs/>
          <w:noProof/>
        </w:rPr>
        <w:t>African Journal of Tropical Hydrobiology and Fisheries</w:t>
      </w:r>
      <w:r w:rsidRPr="00A623D5">
        <w:rPr>
          <w:rFonts w:ascii="Times New Roman" w:hAnsi="Times New Roman" w:cs="Times New Roman"/>
          <w:noProof/>
        </w:rPr>
        <w:t xml:space="preserve">, </w:t>
      </w:r>
      <w:r w:rsidRPr="00A623D5">
        <w:rPr>
          <w:rFonts w:ascii="Times New Roman" w:hAnsi="Times New Roman" w:cs="Times New Roman"/>
          <w:i/>
          <w:iCs/>
          <w:noProof/>
        </w:rPr>
        <w:t>6</w:t>
      </w:r>
      <w:r w:rsidRPr="00A623D5">
        <w:rPr>
          <w:rFonts w:ascii="Times New Roman" w:hAnsi="Times New Roman" w:cs="Times New Roman"/>
          <w:noProof/>
        </w:rPr>
        <w:t>(1). https://doi.org/10.4314/ajthf.v6i1.45933</w:t>
      </w:r>
    </w:p>
    <w:p w14:paraId="7C86FBE5" w14:textId="77777777" w:rsidR="00B9027D" w:rsidRPr="00A623D5" w:rsidRDefault="00B9027D" w:rsidP="00A623D5">
      <w:pPr>
        <w:pStyle w:val="ListParagraph"/>
        <w:widowControl w:val="0"/>
        <w:numPr>
          <w:ilvl w:val="0"/>
          <w:numId w:val="10"/>
        </w:numPr>
        <w:autoSpaceDE w:val="0"/>
        <w:autoSpaceDN w:val="0"/>
        <w:adjustRightInd w:val="0"/>
        <w:spacing w:after="140" w:line="360" w:lineRule="auto"/>
        <w:rPr>
          <w:rFonts w:ascii="Times New Roman" w:hAnsi="Times New Roman" w:cs="Times New Roman"/>
          <w:noProof/>
        </w:rPr>
      </w:pPr>
      <w:r w:rsidRPr="00A623D5">
        <w:rPr>
          <w:rFonts w:ascii="Times New Roman" w:hAnsi="Times New Roman" w:cs="Times New Roman"/>
          <w:noProof/>
        </w:rPr>
        <w:t xml:space="preserve">Oyama, Y., Matsushita, B., &amp; Fukushima, T. (2015). Distinguishing surface cyanobacterial blooms and aquatic macrophytes using Landsat/TM and ETM+ shortwave infrared bands. </w:t>
      </w:r>
      <w:r w:rsidRPr="00A623D5">
        <w:rPr>
          <w:rFonts w:ascii="Times New Roman" w:hAnsi="Times New Roman" w:cs="Times New Roman"/>
          <w:i/>
          <w:iCs/>
          <w:noProof/>
        </w:rPr>
        <w:t>Remote Sensing of Environment</w:t>
      </w:r>
      <w:r w:rsidRPr="00A623D5">
        <w:rPr>
          <w:rFonts w:ascii="Times New Roman" w:hAnsi="Times New Roman" w:cs="Times New Roman"/>
          <w:noProof/>
        </w:rPr>
        <w:t xml:space="preserve">, </w:t>
      </w:r>
      <w:r w:rsidRPr="00A623D5">
        <w:rPr>
          <w:rFonts w:ascii="Times New Roman" w:hAnsi="Times New Roman" w:cs="Times New Roman"/>
          <w:i/>
          <w:iCs/>
          <w:noProof/>
        </w:rPr>
        <w:t>157</w:t>
      </w:r>
      <w:r w:rsidRPr="00A623D5">
        <w:rPr>
          <w:rFonts w:ascii="Times New Roman" w:hAnsi="Times New Roman" w:cs="Times New Roman"/>
          <w:noProof/>
        </w:rPr>
        <w:t>, 35–47. https://doi.org/10.1016/j.rse.2014.04.031</w:t>
      </w:r>
    </w:p>
    <w:p w14:paraId="617A8DE1" w14:textId="77777777" w:rsidR="00B9027D" w:rsidRPr="00A623D5" w:rsidRDefault="00B9027D" w:rsidP="00A623D5">
      <w:pPr>
        <w:pStyle w:val="ListParagraph"/>
        <w:widowControl w:val="0"/>
        <w:numPr>
          <w:ilvl w:val="0"/>
          <w:numId w:val="10"/>
        </w:numPr>
        <w:autoSpaceDE w:val="0"/>
        <w:autoSpaceDN w:val="0"/>
        <w:adjustRightInd w:val="0"/>
        <w:spacing w:after="140" w:line="360" w:lineRule="auto"/>
        <w:rPr>
          <w:rFonts w:ascii="Times New Roman" w:hAnsi="Times New Roman" w:cs="Times New Roman"/>
          <w:noProof/>
        </w:rPr>
      </w:pPr>
      <w:r w:rsidRPr="00A623D5">
        <w:rPr>
          <w:rFonts w:ascii="Times New Roman" w:hAnsi="Times New Roman" w:cs="Times New Roman"/>
          <w:noProof/>
        </w:rPr>
        <w:t xml:space="preserve">Shekede, M. D., Gondo, T., Mavhenge, M. M., &amp; Mazhindu, A. N. (2023). Using Landsat satellite imagery to monitor the spatial and temporal dynamics of aquatic weed extent in Lakes Chivero and Manyame, located in an urban catchment of Zimbabwe. </w:t>
      </w:r>
      <w:r w:rsidRPr="00A623D5">
        <w:rPr>
          <w:rFonts w:ascii="Times New Roman" w:hAnsi="Times New Roman" w:cs="Times New Roman"/>
          <w:i/>
          <w:iCs/>
          <w:noProof/>
        </w:rPr>
        <w:lastRenderedPageBreak/>
        <w:t>Water SA</w:t>
      </w:r>
      <w:r w:rsidRPr="00A623D5">
        <w:rPr>
          <w:rFonts w:ascii="Times New Roman" w:hAnsi="Times New Roman" w:cs="Times New Roman"/>
          <w:noProof/>
        </w:rPr>
        <w:t xml:space="preserve">, </w:t>
      </w:r>
      <w:r w:rsidRPr="00A623D5">
        <w:rPr>
          <w:rFonts w:ascii="Times New Roman" w:hAnsi="Times New Roman" w:cs="Times New Roman"/>
          <w:i/>
          <w:iCs/>
          <w:noProof/>
        </w:rPr>
        <w:t>49</w:t>
      </w:r>
      <w:r w:rsidRPr="00A623D5">
        <w:rPr>
          <w:rFonts w:ascii="Times New Roman" w:hAnsi="Times New Roman" w:cs="Times New Roman"/>
          <w:noProof/>
        </w:rPr>
        <w:t>(1 January). https://doi.org/10.17159/wsa/2023.v49.i1.3950</w:t>
      </w:r>
    </w:p>
    <w:p w14:paraId="35A1DD29" w14:textId="77777777" w:rsidR="00B9027D" w:rsidRPr="00A623D5" w:rsidRDefault="00B9027D" w:rsidP="00A623D5">
      <w:pPr>
        <w:pStyle w:val="ListParagraph"/>
        <w:widowControl w:val="0"/>
        <w:numPr>
          <w:ilvl w:val="0"/>
          <w:numId w:val="10"/>
        </w:numPr>
        <w:autoSpaceDE w:val="0"/>
        <w:autoSpaceDN w:val="0"/>
        <w:adjustRightInd w:val="0"/>
        <w:spacing w:after="140" w:line="360" w:lineRule="auto"/>
        <w:rPr>
          <w:rFonts w:ascii="Times New Roman" w:hAnsi="Times New Roman" w:cs="Times New Roman"/>
          <w:noProof/>
        </w:rPr>
      </w:pPr>
      <w:r w:rsidRPr="00A623D5">
        <w:rPr>
          <w:rFonts w:ascii="Times New Roman" w:hAnsi="Times New Roman" w:cs="Times New Roman"/>
          <w:noProof/>
        </w:rPr>
        <w:t xml:space="preserve">Silva, T. S. F., Costa, M. P. F., Melack, J. M., &amp; Novo, E. M. L. M. (2008). Remote sensing of aquatic vegetation: Theory and applications. </w:t>
      </w:r>
      <w:r w:rsidRPr="00A623D5">
        <w:rPr>
          <w:rFonts w:ascii="Times New Roman" w:hAnsi="Times New Roman" w:cs="Times New Roman"/>
          <w:i/>
          <w:iCs/>
          <w:noProof/>
        </w:rPr>
        <w:t>Environmental Monitoring and Assessment</w:t>
      </w:r>
      <w:r w:rsidRPr="00A623D5">
        <w:rPr>
          <w:rFonts w:ascii="Times New Roman" w:hAnsi="Times New Roman" w:cs="Times New Roman"/>
          <w:noProof/>
        </w:rPr>
        <w:t xml:space="preserve">, </w:t>
      </w:r>
      <w:r w:rsidRPr="00A623D5">
        <w:rPr>
          <w:rFonts w:ascii="Times New Roman" w:hAnsi="Times New Roman" w:cs="Times New Roman"/>
          <w:i/>
          <w:iCs/>
          <w:noProof/>
        </w:rPr>
        <w:t>140</w:t>
      </w:r>
      <w:r w:rsidRPr="00A623D5">
        <w:rPr>
          <w:rFonts w:ascii="Times New Roman" w:hAnsi="Times New Roman" w:cs="Times New Roman"/>
          <w:noProof/>
        </w:rPr>
        <w:t>(1–3), 131–145. https://doi.org/10.1007/s10661-007-9855-3</w:t>
      </w:r>
    </w:p>
    <w:p w14:paraId="1DAE415E" w14:textId="77777777" w:rsidR="00B9027D" w:rsidRPr="00A623D5" w:rsidRDefault="00B9027D" w:rsidP="00A623D5">
      <w:pPr>
        <w:pStyle w:val="ListParagraph"/>
        <w:widowControl w:val="0"/>
        <w:numPr>
          <w:ilvl w:val="0"/>
          <w:numId w:val="10"/>
        </w:numPr>
        <w:autoSpaceDE w:val="0"/>
        <w:autoSpaceDN w:val="0"/>
        <w:adjustRightInd w:val="0"/>
        <w:spacing w:after="140" w:line="360" w:lineRule="auto"/>
        <w:rPr>
          <w:rFonts w:ascii="Times New Roman" w:hAnsi="Times New Roman" w:cs="Times New Roman"/>
          <w:noProof/>
        </w:rPr>
      </w:pPr>
      <w:r w:rsidRPr="00A623D5">
        <w:rPr>
          <w:rFonts w:ascii="Times New Roman" w:hAnsi="Times New Roman" w:cs="Times New Roman"/>
          <w:noProof/>
        </w:rPr>
        <w:t xml:space="preserve">Singh, G., Reynolds, C., Byrne, M., &amp; Rosman, B. (2020). A remote sensing method to monitor water, aquatic vegetation, and invasive water hyacinth at national extents. </w:t>
      </w:r>
      <w:r w:rsidRPr="00A623D5">
        <w:rPr>
          <w:rFonts w:ascii="Times New Roman" w:hAnsi="Times New Roman" w:cs="Times New Roman"/>
          <w:i/>
          <w:iCs/>
          <w:noProof/>
        </w:rPr>
        <w:t>Remote Sensing</w:t>
      </w:r>
      <w:r w:rsidRPr="00A623D5">
        <w:rPr>
          <w:rFonts w:ascii="Times New Roman" w:hAnsi="Times New Roman" w:cs="Times New Roman"/>
          <w:noProof/>
        </w:rPr>
        <w:t xml:space="preserve">, </w:t>
      </w:r>
      <w:r w:rsidRPr="00A623D5">
        <w:rPr>
          <w:rFonts w:ascii="Times New Roman" w:hAnsi="Times New Roman" w:cs="Times New Roman"/>
          <w:i/>
          <w:iCs/>
          <w:noProof/>
        </w:rPr>
        <w:t>12</w:t>
      </w:r>
      <w:r w:rsidRPr="00A623D5">
        <w:rPr>
          <w:rFonts w:ascii="Times New Roman" w:hAnsi="Times New Roman" w:cs="Times New Roman"/>
          <w:noProof/>
        </w:rPr>
        <w:t>(24), 1–24. https://doi.org/10.3390/rs12244021</w:t>
      </w:r>
    </w:p>
    <w:p w14:paraId="410E73F6" w14:textId="77777777" w:rsidR="00B9027D" w:rsidRPr="00A623D5" w:rsidRDefault="00B9027D" w:rsidP="00A623D5">
      <w:pPr>
        <w:pStyle w:val="ListParagraph"/>
        <w:widowControl w:val="0"/>
        <w:numPr>
          <w:ilvl w:val="0"/>
          <w:numId w:val="10"/>
        </w:numPr>
        <w:autoSpaceDE w:val="0"/>
        <w:autoSpaceDN w:val="0"/>
        <w:adjustRightInd w:val="0"/>
        <w:spacing w:after="140" w:line="360" w:lineRule="auto"/>
        <w:rPr>
          <w:rFonts w:ascii="Times New Roman" w:hAnsi="Times New Roman" w:cs="Times New Roman"/>
          <w:noProof/>
        </w:rPr>
      </w:pPr>
      <w:r w:rsidRPr="00A623D5">
        <w:rPr>
          <w:rFonts w:ascii="Times New Roman" w:hAnsi="Times New Roman" w:cs="Times New Roman"/>
          <w:noProof/>
        </w:rPr>
        <w:t xml:space="preserve">Strashok, O., Ziemiańska, M., &amp; Strashok, V. (2022). Evaluation and Correlation of Sentinel-2 NDVI and NDMI in Kyiv (2017-2021). </w:t>
      </w:r>
      <w:r w:rsidRPr="00A623D5">
        <w:rPr>
          <w:rFonts w:ascii="Times New Roman" w:hAnsi="Times New Roman" w:cs="Times New Roman"/>
          <w:i/>
          <w:iCs/>
          <w:noProof/>
        </w:rPr>
        <w:t>Journal of Ecological Engineering</w:t>
      </w:r>
      <w:r w:rsidRPr="00A623D5">
        <w:rPr>
          <w:rFonts w:ascii="Times New Roman" w:hAnsi="Times New Roman" w:cs="Times New Roman"/>
          <w:noProof/>
        </w:rPr>
        <w:t xml:space="preserve">, </w:t>
      </w:r>
      <w:r w:rsidRPr="00A623D5">
        <w:rPr>
          <w:rFonts w:ascii="Times New Roman" w:hAnsi="Times New Roman" w:cs="Times New Roman"/>
          <w:i/>
          <w:iCs/>
          <w:noProof/>
        </w:rPr>
        <w:t>23</w:t>
      </w:r>
      <w:r w:rsidRPr="00A623D5">
        <w:rPr>
          <w:rFonts w:ascii="Times New Roman" w:hAnsi="Times New Roman" w:cs="Times New Roman"/>
          <w:noProof/>
        </w:rPr>
        <w:t>(9), 212–218. https://doi.org/10.12911/22998993/151884</w:t>
      </w:r>
    </w:p>
    <w:p w14:paraId="628382C6" w14:textId="77777777" w:rsidR="00B9027D" w:rsidRPr="00A623D5" w:rsidRDefault="00B9027D" w:rsidP="00A623D5">
      <w:pPr>
        <w:pStyle w:val="ListParagraph"/>
        <w:widowControl w:val="0"/>
        <w:numPr>
          <w:ilvl w:val="0"/>
          <w:numId w:val="10"/>
        </w:numPr>
        <w:autoSpaceDE w:val="0"/>
        <w:autoSpaceDN w:val="0"/>
        <w:adjustRightInd w:val="0"/>
        <w:spacing w:after="140" w:line="360" w:lineRule="auto"/>
        <w:rPr>
          <w:rFonts w:ascii="Times New Roman" w:hAnsi="Times New Roman" w:cs="Times New Roman"/>
          <w:noProof/>
        </w:rPr>
      </w:pPr>
      <w:r w:rsidRPr="00A623D5">
        <w:rPr>
          <w:rFonts w:ascii="Times New Roman" w:hAnsi="Times New Roman" w:cs="Times New Roman"/>
          <w:noProof/>
        </w:rPr>
        <w:t xml:space="preserve">Tucker, C. J. (1979). Red and photographic infrared linear combinations for monitoring vegetation. </w:t>
      </w:r>
      <w:r w:rsidRPr="00A623D5">
        <w:rPr>
          <w:rFonts w:ascii="Times New Roman" w:hAnsi="Times New Roman" w:cs="Times New Roman"/>
          <w:i/>
          <w:iCs/>
          <w:noProof/>
        </w:rPr>
        <w:t>Remote Sensing of Environment</w:t>
      </w:r>
      <w:r w:rsidRPr="00A623D5">
        <w:rPr>
          <w:rFonts w:ascii="Times New Roman" w:hAnsi="Times New Roman" w:cs="Times New Roman"/>
          <w:noProof/>
        </w:rPr>
        <w:t xml:space="preserve">, </w:t>
      </w:r>
      <w:r w:rsidRPr="00A623D5">
        <w:rPr>
          <w:rFonts w:ascii="Times New Roman" w:hAnsi="Times New Roman" w:cs="Times New Roman"/>
          <w:i/>
          <w:iCs/>
          <w:noProof/>
        </w:rPr>
        <w:t>8</w:t>
      </w:r>
      <w:r w:rsidRPr="00A623D5">
        <w:rPr>
          <w:rFonts w:ascii="Times New Roman" w:hAnsi="Times New Roman" w:cs="Times New Roman"/>
          <w:noProof/>
        </w:rPr>
        <w:t>(2), 127–150. https://doi.org/10.1016/0034-4257(79)90013-0</w:t>
      </w:r>
    </w:p>
    <w:p w14:paraId="6A3CE109" w14:textId="77777777" w:rsidR="00B9027D" w:rsidRPr="00A623D5" w:rsidRDefault="00B9027D" w:rsidP="00A623D5">
      <w:pPr>
        <w:pStyle w:val="ListParagraph"/>
        <w:widowControl w:val="0"/>
        <w:numPr>
          <w:ilvl w:val="0"/>
          <w:numId w:val="10"/>
        </w:numPr>
        <w:autoSpaceDE w:val="0"/>
        <w:autoSpaceDN w:val="0"/>
        <w:adjustRightInd w:val="0"/>
        <w:spacing w:after="140" w:line="360" w:lineRule="auto"/>
        <w:rPr>
          <w:rFonts w:ascii="Times New Roman" w:hAnsi="Times New Roman" w:cs="Times New Roman"/>
          <w:noProof/>
        </w:rPr>
      </w:pPr>
      <w:r w:rsidRPr="00A623D5">
        <w:rPr>
          <w:rFonts w:ascii="Times New Roman" w:hAnsi="Times New Roman" w:cs="Times New Roman"/>
          <w:noProof/>
        </w:rPr>
        <w:t>Villamagna, A. M., &amp; Murphy, B. R. (2010). Ecological and socio-economic impacts of invasive water hyacinth (</w:t>
      </w:r>
      <w:r w:rsidRPr="00A623D5">
        <w:rPr>
          <w:rFonts w:ascii="Times New Roman" w:hAnsi="Times New Roman" w:cs="Times New Roman"/>
          <w:i/>
          <w:noProof/>
        </w:rPr>
        <w:t>Eichhornia crassipes</w:t>
      </w:r>
      <w:r w:rsidRPr="00A623D5">
        <w:rPr>
          <w:rFonts w:ascii="Times New Roman" w:hAnsi="Times New Roman" w:cs="Times New Roman"/>
          <w:noProof/>
        </w:rPr>
        <w:t xml:space="preserve">): A review. </w:t>
      </w:r>
      <w:r w:rsidRPr="00A623D5">
        <w:rPr>
          <w:rFonts w:ascii="Times New Roman" w:hAnsi="Times New Roman" w:cs="Times New Roman"/>
          <w:i/>
          <w:iCs/>
          <w:noProof/>
        </w:rPr>
        <w:t>Freshwater Biology</w:t>
      </w:r>
      <w:r w:rsidRPr="00A623D5">
        <w:rPr>
          <w:rFonts w:ascii="Times New Roman" w:hAnsi="Times New Roman" w:cs="Times New Roman"/>
          <w:noProof/>
        </w:rPr>
        <w:t xml:space="preserve">, </w:t>
      </w:r>
      <w:r w:rsidRPr="00A623D5">
        <w:rPr>
          <w:rFonts w:ascii="Times New Roman" w:hAnsi="Times New Roman" w:cs="Times New Roman"/>
          <w:i/>
          <w:iCs/>
          <w:noProof/>
        </w:rPr>
        <w:t>55</w:t>
      </w:r>
      <w:r w:rsidRPr="00A623D5">
        <w:rPr>
          <w:rFonts w:ascii="Times New Roman" w:hAnsi="Times New Roman" w:cs="Times New Roman"/>
          <w:noProof/>
        </w:rPr>
        <w:t>(2), 282–298. https://doi.org/10.1111/j.1365-2427.2009.02294.x</w:t>
      </w:r>
    </w:p>
    <w:p w14:paraId="3C9200D1" w14:textId="77777777" w:rsidR="00B9027D" w:rsidRPr="00A623D5" w:rsidRDefault="00B9027D" w:rsidP="00A623D5">
      <w:pPr>
        <w:pStyle w:val="ListParagraph"/>
        <w:widowControl w:val="0"/>
        <w:numPr>
          <w:ilvl w:val="0"/>
          <w:numId w:val="10"/>
        </w:numPr>
        <w:autoSpaceDE w:val="0"/>
        <w:autoSpaceDN w:val="0"/>
        <w:adjustRightInd w:val="0"/>
        <w:spacing w:after="140" w:line="360" w:lineRule="auto"/>
        <w:rPr>
          <w:rFonts w:ascii="Times New Roman" w:hAnsi="Times New Roman" w:cs="Times New Roman"/>
          <w:noProof/>
        </w:rPr>
      </w:pPr>
      <w:r w:rsidRPr="00A623D5">
        <w:rPr>
          <w:rFonts w:ascii="Times New Roman" w:hAnsi="Times New Roman" w:cs="Times New Roman"/>
          <w:noProof/>
        </w:rPr>
        <w:t xml:space="preserve">Xu, H. (2006). Modification of normalised difference water index (NDWI) to enhance open water features in remotely sensed imagery. </w:t>
      </w:r>
      <w:r w:rsidRPr="00A623D5">
        <w:rPr>
          <w:rFonts w:ascii="Times New Roman" w:hAnsi="Times New Roman" w:cs="Times New Roman"/>
          <w:i/>
          <w:iCs/>
          <w:noProof/>
        </w:rPr>
        <w:t>International Journal of Remote Sensing</w:t>
      </w:r>
      <w:r w:rsidRPr="00A623D5">
        <w:rPr>
          <w:rFonts w:ascii="Times New Roman" w:hAnsi="Times New Roman" w:cs="Times New Roman"/>
          <w:noProof/>
        </w:rPr>
        <w:t xml:space="preserve">, </w:t>
      </w:r>
      <w:r w:rsidRPr="00A623D5">
        <w:rPr>
          <w:rFonts w:ascii="Times New Roman" w:hAnsi="Times New Roman" w:cs="Times New Roman"/>
          <w:i/>
          <w:iCs/>
          <w:noProof/>
        </w:rPr>
        <w:t>27</w:t>
      </w:r>
      <w:r w:rsidRPr="00A623D5">
        <w:rPr>
          <w:rFonts w:ascii="Times New Roman" w:hAnsi="Times New Roman" w:cs="Times New Roman"/>
          <w:noProof/>
        </w:rPr>
        <w:t>(14), 3025–3033. https://doi.org/10.1080/01431160600589179</w:t>
      </w:r>
    </w:p>
    <w:p w14:paraId="48363701" w14:textId="5ED4B88A" w:rsidR="00DB0109" w:rsidRDefault="00B9027D" w:rsidP="00A623D5">
      <w:pPr>
        <w:spacing w:after="140" w:line="360" w:lineRule="auto"/>
        <w:ind w:left="720" w:hanging="720"/>
        <w:jc w:val="both"/>
        <w:rPr>
          <w:rFonts w:ascii="Times New Roman" w:hAnsi="Times New Roman" w:cs="Times New Roman"/>
        </w:rPr>
      </w:pPr>
      <w:r>
        <w:rPr>
          <w:rFonts w:ascii="Times New Roman" w:hAnsi="Times New Roman" w:cs="Times New Roman"/>
        </w:rPr>
        <w:fldChar w:fldCharType="end"/>
      </w:r>
      <w:r w:rsidR="00DD16D2">
        <w:rPr>
          <w:rFonts w:ascii="Times New Roman" w:hAnsi="Times New Roman" w:cs="Times New Roman"/>
        </w:rPr>
        <w:t>APPENDICES</w:t>
      </w:r>
    </w:p>
    <w:p w14:paraId="0A241F03" w14:textId="77777777" w:rsidR="00472331" w:rsidRDefault="00DD16D2" w:rsidP="00472331">
      <w:pPr>
        <w:keepNext/>
        <w:spacing w:after="140" w:line="360" w:lineRule="auto"/>
        <w:ind w:left="720" w:hanging="720"/>
        <w:jc w:val="both"/>
      </w:pPr>
      <w:r w:rsidRPr="00DD16D2">
        <w:rPr>
          <w:rFonts w:ascii="Times New Roman" w:hAnsi="Times New Roman" w:cs="Times New Roman"/>
          <w:noProof/>
        </w:rPr>
        <w:lastRenderedPageBreak/>
        <w:drawing>
          <wp:inline distT="0" distB="0" distL="0" distR="0" wp14:anchorId="2A04F049" wp14:editId="699F059C">
            <wp:extent cx="2863850" cy="2041717"/>
            <wp:effectExtent l="0" t="0" r="0" b="0"/>
            <wp:docPr id="161141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41611" name=""/>
                    <pic:cNvPicPr/>
                  </pic:nvPicPr>
                  <pic:blipFill>
                    <a:blip r:embed="rId33"/>
                    <a:stretch>
                      <a:fillRect/>
                    </a:stretch>
                  </pic:blipFill>
                  <pic:spPr>
                    <a:xfrm>
                      <a:off x="0" y="0"/>
                      <a:ext cx="2889176" cy="2059773"/>
                    </a:xfrm>
                    <a:prstGeom prst="rect">
                      <a:avLst/>
                    </a:prstGeom>
                  </pic:spPr>
                </pic:pic>
              </a:graphicData>
            </a:graphic>
          </wp:inline>
        </w:drawing>
      </w:r>
    </w:p>
    <w:p w14:paraId="26C66CDD" w14:textId="03BCD88F" w:rsidR="00472331" w:rsidRDefault="00472331" w:rsidP="00472331">
      <w:pPr>
        <w:pStyle w:val="Caption"/>
        <w:jc w:val="both"/>
      </w:pPr>
      <w:bookmarkStart w:id="162" w:name="_Toc237884384"/>
      <w:r>
        <w:t xml:space="preserve">Figure </w:t>
      </w:r>
      <w:fldSimple w:instr=" SEQ Figure \* ARABIC ">
        <w:r w:rsidR="00402E51">
          <w:rPr>
            <w:noProof/>
          </w:rPr>
          <w:t>23</w:t>
        </w:r>
      </w:fldSimple>
      <w:r>
        <w:t xml:space="preserve">:Lake </w:t>
      </w:r>
      <w:proofErr w:type="spellStart"/>
      <w:r>
        <w:t>wamala</w:t>
      </w:r>
      <w:proofErr w:type="spellEnd"/>
      <w:r>
        <w:t xml:space="preserve"> </w:t>
      </w:r>
      <w:proofErr w:type="gramStart"/>
      <w:r>
        <w:t>NDVI  Tiff</w:t>
      </w:r>
      <w:proofErr w:type="gramEnd"/>
      <w:r>
        <w:t xml:space="preserve"> image from CDSE</w:t>
      </w:r>
      <w:bookmarkEnd w:id="162"/>
    </w:p>
    <w:p w14:paraId="0049256C" w14:textId="77777777" w:rsidR="00472331" w:rsidRDefault="00265BA9" w:rsidP="00472331">
      <w:pPr>
        <w:keepNext/>
        <w:spacing w:after="140" w:line="360" w:lineRule="auto"/>
        <w:ind w:left="720" w:hanging="720"/>
        <w:jc w:val="both"/>
      </w:pPr>
      <w:r w:rsidRPr="00265BA9">
        <w:rPr>
          <w:rFonts w:ascii="Times New Roman" w:hAnsi="Times New Roman" w:cs="Times New Roman"/>
          <w:noProof/>
        </w:rPr>
        <w:drawing>
          <wp:inline distT="0" distB="0" distL="0" distR="0" wp14:anchorId="049C3A43" wp14:editId="64829A55">
            <wp:extent cx="2863215" cy="2035147"/>
            <wp:effectExtent l="0" t="0" r="0" b="3810"/>
            <wp:docPr id="1603438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438639" name=""/>
                    <pic:cNvPicPr/>
                  </pic:nvPicPr>
                  <pic:blipFill>
                    <a:blip r:embed="rId34"/>
                    <a:stretch>
                      <a:fillRect/>
                    </a:stretch>
                  </pic:blipFill>
                  <pic:spPr>
                    <a:xfrm>
                      <a:off x="0" y="0"/>
                      <a:ext cx="2887131" cy="2052146"/>
                    </a:xfrm>
                    <a:prstGeom prst="rect">
                      <a:avLst/>
                    </a:prstGeom>
                  </pic:spPr>
                </pic:pic>
              </a:graphicData>
            </a:graphic>
          </wp:inline>
        </w:drawing>
      </w:r>
    </w:p>
    <w:p w14:paraId="112D5A88" w14:textId="70F4960B" w:rsidR="00472331" w:rsidRDefault="00472331" w:rsidP="00472331">
      <w:pPr>
        <w:pStyle w:val="Caption"/>
        <w:jc w:val="both"/>
      </w:pPr>
      <w:bookmarkStart w:id="163" w:name="_Toc237884385"/>
      <w:r>
        <w:t xml:space="preserve">Figure </w:t>
      </w:r>
      <w:fldSimple w:instr=" SEQ Figure \* ARABIC ">
        <w:r w:rsidR="00402E51">
          <w:rPr>
            <w:noProof/>
          </w:rPr>
          <w:t>24</w:t>
        </w:r>
      </w:fldSimple>
      <w:r>
        <w:t xml:space="preserve">:32bit Magnified NDVI lake </w:t>
      </w:r>
      <w:proofErr w:type="spellStart"/>
      <w:r>
        <w:t>wamala</w:t>
      </w:r>
      <w:proofErr w:type="spellEnd"/>
      <w:r>
        <w:t xml:space="preserve"> basin image from CDSE</w:t>
      </w:r>
      <w:bookmarkEnd w:id="163"/>
    </w:p>
    <w:p w14:paraId="31B84297" w14:textId="748AB50A" w:rsidR="00472331" w:rsidRDefault="00265BA9" w:rsidP="00472331">
      <w:pPr>
        <w:keepNext/>
        <w:spacing w:after="140" w:line="360" w:lineRule="auto"/>
        <w:ind w:left="720" w:hanging="720"/>
        <w:jc w:val="both"/>
      </w:pPr>
      <w:r w:rsidRPr="00265BA9">
        <w:rPr>
          <w:rFonts w:ascii="Times New Roman" w:hAnsi="Times New Roman" w:cs="Times New Roman"/>
          <w:noProof/>
        </w:rPr>
        <w:drawing>
          <wp:inline distT="0" distB="0" distL="0" distR="0" wp14:anchorId="18EC91AC" wp14:editId="141B5C92">
            <wp:extent cx="3479800" cy="2406490"/>
            <wp:effectExtent l="0" t="0" r="6350" b="0"/>
            <wp:docPr id="266674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674147" name=""/>
                    <pic:cNvPicPr/>
                  </pic:nvPicPr>
                  <pic:blipFill>
                    <a:blip r:embed="rId35"/>
                    <a:stretch>
                      <a:fillRect/>
                    </a:stretch>
                  </pic:blipFill>
                  <pic:spPr>
                    <a:xfrm>
                      <a:off x="0" y="0"/>
                      <a:ext cx="3489484" cy="2413187"/>
                    </a:xfrm>
                    <a:prstGeom prst="rect">
                      <a:avLst/>
                    </a:prstGeom>
                  </pic:spPr>
                </pic:pic>
              </a:graphicData>
            </a:graphic>
          </wp:inline>
        </w:drawing>
      </w:r>
    </w:p>
    <w:p w14:paraId="04DF73B9" w14:textId="5AFFBD3C" w:rsidR="00472331" w:rsidRDefault="00472331" w:rsidP="00472331">
      <w:pPr>
        <w:pStyle w:val="Caption"/>
        <w:jc w:val="both"/>
      </w:pPr>
      <w:bookmarkStart w:id="164" w:name="_Toc237884386"/>
      <w:r>
        <w:t xml:space="preserve">Figure </w:t>
      </w:r>
      <w:fldSimple w:instr=" SEQ Figure \* ARABIC ">
        <w:r w:rsidR="00402E51">
          <w:rPr>
            <w:noProof/>
          </w:rPr>
          <w:t>25</w:t>
        </w:r>
      </w:fldSimple>
      <w:r>
        <w:t xml:space="preserve">:CDSE </w:t>
      </w:r>
      <w:r w:rsidR="00E92C31">
        <w:t xml:space="preserve">False </w:t>
      </w:r>
      <w:proofErr w:type="spellStart"/>
      <w:proofErr w:type="gramStart"/>
      <w:r w:rsidR="00E92C31">
        <w:t>colorvisualised</w:t>
      </w:r>
      <w:proofErr w:type="spellEnd"/>
      <w:r w:rsidR="00E92C31">
        <w:t xml:space="preserve"> </w:t>
      </w:r>
      <w:r>
        <w:t xml:space="preserve"> images</w:t>
      </w:r>
      <w:proofErr w:type="gramEnd"/>
      <w:r>
        <w:t xml:space="preserve"> for lake </w:t>
      </w:r>
      <w:proofErr w:type="spellStart"/>
      <w:r>
        <w:t>wamala</w:t>
      </w:r>
      <w:bookmarkEnd w:id="164"/>
      <w:proofErr w:type="spellEnd"/>
    </w:p>
    <w:p w14:paraId="467F24D8" w14:textId="2BF3595E" w:rsidR="00472331" w:rsidRDefault="00CE7998" w:rsidP="00472331">
      <w:pPr>
        <w:keepNext/>
        <w:spacing w:after="140" w:line="360" w:lineRule="auto"/>
        <w:ind w:left="720" w:hanging="720"/>
        <w:jc w:val="both"/>
      </w:pPr>
      <w:r w:rsidRPr="00CE7998">
        <w:rPr>
          <w:rFonts w:ascii="Times New Roman" w:hAnsi="Times New Roman" w:cs="Times New Roman"/>
          <w:noProof/>
        </w:rPr>
        <w:lastRenderedPageBreak/>
        <w:drawing>
          <wp:inline distT="0" distB="0" distL="0" distR="0" wp14:anchorId="125CFDD7" wp14:editId="1482D8B5">
            <wp:extent cx="2597283" cy="2559182"/>
            <wp:effectExtent l="0" t="0" r="0" b="0"/>
            <wp:docPr id="792337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337422" name=""/>
                    <pic:cNvPicPr/>
                  </pic:nvPicPr>
                  <pic:blipFill>
                    <a:blip r:embed="rId36"/>
                    <a:stretch>
                      <a:fillRect/>
                    </a:stretch>
                  </pic:blipFill>
                  <pic:spPr>
                    <a:xfrm>
                      <a:off x="0" y="0"/>
                      <a:ext cx="2597283" cy="2559182"/>
                    </a:xfrm>
                    <a:prstGeom prst="rect">
                      <a:avLst/>
                    </a:prstGeom>
                  </pic:spPr>
                </pic:pic>
              </a:graphicData>
            </a:graphic>
          </wp:inline>
        </w:drawing>
      </w:r>
    </w:p>
    <w:p w14:paraId="7FD89804" w14:textId="66B0BD08" w:rsidR="00DD16D2" w:rsidRDefault="00CE7998" w:rsidP="00472331">
      <w:pPr>
        <w:pStyle w:val="Caption"/>
        <w:jc w:val="both"/>
        <w:rPr>
          <w:rFonts w:ascii="Times New Roman" w:hAnsi="Times New Roman" w:cs="Times New Roman"/>
        </w:rPr>
      </w:pPr>
      <w:bookmarkStart w:id="165" w:name="_Toc237884387"/>
      <w:r>
        <w:t xml:space="preserve">Figure </w:t>
      </w:r>
      <w:fldSimple w:instr=" SEQ Figure \* ARABIC ">
        <w:r w:rsidR="00402E51">
          <w:rPr>
            <w:noProof/>
          </w:rPr>
          <w:t>26</w:t>
        </w:r>
      </w:fldSimple>
      <w:r>
        <w:t>:NE open water NDWI buffer Image</w:t>
      </w:r>
      <w:bookmarkEnd w:id="165"/>
    </w:p>
    <w:p w14:paraId="5F390DD0" w14:textId="77777777" w:rsidR="00472331" w:rsidRDefault="00472331" w:rsidP="00472331">
      <w:pPr>
        <w:keepNext/>
        <w:spacing w:after="140" w:line="360" w:lineRule="auto"/>
        <w:ind w:left="720" w:hanging="720"/>
        <w:jc w:val="both"/>
      </w:pPr>
      <w:r w:rsidRPr="00472331">
        <w:rPr>
          <w:rFonts w:ascii="Times New Roman" w:hAnsi="Times New Roman" w:cs="Times New Roman"/>
          <w:noProof/>
        </w:rPr>
        <w:drawing>
          <wp:inline distT="0" distB="0" distL="0" distR="0" wp14:anchorId="7C8B6FD9" wp14:editId="0C4EC5FB">
            <wp:extent cx="2502029" cy="2514729"/>
            <wp:effectExtent l="0" t="0" r="0" b="0"/>
            <wp:docPr id="1699019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019598" name=""/>
                    <pic:cNvPicPr/>
                  </pic:nvPicPr>
                  <pic:blipFill>
                    <a:blip r:embed="rId37"/>
                    <a:stretch>
                      <a:fillRect/>
                    </a:stretch>
                  </pic:blipFill>
                  <pic:spPr>
                    <a:xfrm>
                      <a:off x="0" y="0"/>
                      <a:ext cx="2502029" cy="2514729"/>
                    </a:xfrm>
                    <a:prstGeom prst="rect">
                      <a:avLst/>
                    </a:prstGeom>
                  </pic:spPr>
                </pic:pic>
              </a:graphicData>
            </a:graphic>
          </wp:inline>
        </w:drawing>
      </w:r>
    </w:p>
    <w:p w14:paraId="5D4C6D5B" w14:textId="485E957E" w:rsidR="00265BA9" w:rsidRDefault="00472331" w:rsidP="00472331">
      <w:pPr>
        <w:pStyle w:val="Caption"/>
        <w:jc w:val="both"/>
      </w:pPr>
      <w:bookmarkStart w:id="166" w:name="_Toc237884388"/>
      <w:r>
        <w:t xml:space="preserve">Figure </w:t>
      </w:r>
      <w:fldSimple w:instr=" SEQ Figure \* ARABIC ">
        <w:r w:rsidR="00402E51">
          <w:rPr>
            <w:noProof/>
          </w:rPr>
          <w:t>27</w:t>
        </w:r>
      </w:fldSimple>
      <w:r>
        <w:t>:NWnear shore NDVI buffer Image</w:t>
      </w:r>
      <w:bookmarkEnd w:id="166"/>
    </w:p>
    <w:p w14:paraId="31440EAF" w14:textId="77777777" w:rsidR="00E92C31" w:rsidRDefault="00E92C31" w:rsidP="00402E51">
      <w:pPr>
        <w:keepNext/>
      </w:pPr>
      <w:r>
        <w:rPr>
          <w:noProof/>
        </w:rPr>
        <w:drawing>
          <wp:inline distT="0" distB="0" distL="0" distR="0" wp14:anchorId="781EF72B" wp14:editId="48FFFA7A">
            <wp:extent cx="3263900" cy="1835944"/>
            <wp:effectExtent l="0" t="0" r="0" b="0"/>
            <wp:docPr id="1336266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266841" name=""/>
                    <pic:cNvPicPr/>
                  </pic:nvPicPr>
                  <pic:blipFill>
                    <a:blip r:embed="rId38"/>
                    <a:stretch>
                      <a:fillRect/>
                    </a:stretch>
                  </pic:blipFill>
                  <pic:spPr>
                    <a:xfrm>
                      <a:off x="0" y="0"/>
                      <a:ext cx="3274448" cy="1841878"/>
                    </a:xfrm>
                    <a:prstGeom prst="rect">
                      <a:avLst/>
                    </a:prstGeom>
                  </pic:spPr>
                </pic:pic>
              </a:graphicData>
            </a:graphic>
          </wp:inline>
        </w:drawing>
      </w:r>
    </w:p>
    <w:p w14:paraId="2F2A2C1E" w14:textId="6DE27A97" w:rsidR="00E92C31" w:rsidRDefault="00E92C31" w:rsidP="00E92C31">
      <w:pPr>
        <w:pStyle w:val="Caption"/>
      </w:pPr>
      <w:bookmarkStart w:id="167" w:name="_Toc237884389"/>
      <w:r>
        <w:t xml:space="preserve">Figure </w:t>
      </w:r>
      <w:fldSimple w:instr=" SEQ Figure \* ARABIC ">
        <w:r w:rsidR="00402E51">
          <w:rPr>
            <w:noProof/>
          </w:rPr>
          <w:t>28</w:t>
        </w:r>
      </w:fldSimple>
      <w:r>
        <w:t>:CDSE application interface</w:t>
      </w:r>
      <w:bookmarkEnd w:id="167"/>
    </w:p>
    <w:p w14:paraId="417ED6A4" w14:textId="77777777" w:rsidR="00402E51" w:rsidRDefault="00402E51" w:rsidP="00402E51">
      <w:pPr>
        <w:keepNext/>
      </w:pPr>
      <w:r>
        <w:rPr>
          <w:noProof/>
        </w:rPr>
        <w:lastRenderedPageBreak/>
        <w:drawing>
          <wp:inline distT="0" distB="0" distL="0" distR="0" wp14:anchorId="42071719" wp14:editId="77DFA861">
            <wp:extent cx="3168650" cy="1782365"/>
            <wp:effectExtent l="0" t="0" r="0" b="8890"/>
            <wp:docPr id="1330131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131198" name=""/>
                    <pic:cNvPicPr/>
                  </pic:nvPicPr>
                  <pic:blipFill>
                    <a:blip r:embed="rId39"/>
                    <a:stretch>
                      <a:fillRect/>
                    </a:stretch>
                  </pic:blipFill>
                  <pic:spPr>
                    <a:xfrm>
                      <a:off x="0" y="0"/>
                      <a:ext cx="3187847" cy="1793163"/>
                    </a:xfrm>
                    <a:prstGeom prst="rect">
                      <a:avLst/>
                    </a:prstGeom>
                  </pic:spPr>
                </pic:pic>
              </a:graphicData>
            </a:graphic>
          </wp:inline>
        </w:drawing>
      </w:r>
    </w:p>
    <w:p w14:paraId="4F9E48B7" w14:textId="2C2642CC" w:rsidR="00402E51" w:rsidRDefault="00402E51" w:rsidP="00402E51">
      <w:pPr>
        <w:pStyle w:val="Caption"/>
      </w:pPr>
      <w:bookmarkStart w:id="168" w:name="_Toc237884390"/>
      <w:r>
        <w:t xml:space="preserve">Figure </w:t>
      </w:r>
      <w:fldSimple w:instr=" SEQ Figure \* ARABIC ">
        <w:r>
          <w:rPr>
            <w:noProof/>
          </w:rPr>
          <w:t>29</w:t>
        </w:r>
      </w:fldSimple>
      <w:r>
        <w:t>:Geojson</w:t>
      </w:r>
      <w:proofErr w:type="gramStart"/>
      <w:r>
        <w:t xml:space="preserve"> .oi</w:t>
      </w:r>
      <w:proofErr w:type="gramEnd"/>
      <w:r>
        <w:t xml:space="preserve"> interface, where different </w:t>
      </w:r>
      <w:proofErr w:type="gramStart"/>
      <w:r>
        <w:t>files(</w:t>
      </w:r>
      <w:proofErr w:type="spellStart"/>
      <w:proofErr w:type="gramEnd"/>
      <w:r>
        <w:t>kml</w:t>
      </w:r>
      <w:proofErr w:type="spellEnd"/>
      <w:r>
        <w:t xml:space="preserve">, shape, </w:t>
      </w:r>
      <w:proofErr w:type="gramStart"/>
      <w:r>
        <w:t>etc</w:t>
      </w:r>
      <w:r>
        <w:t xml:space="preserve"> )</w:t>
      </w:r>
      <w:proofErr w:type="gramEnd"/>
      <w:r>
        <w:t xml:space="preserve"> have been freely imported fro</w:t>
      </w:r>
      <w:r>
        <w:t>m</w:t>
      </w:r>
      <w:bookmarkEnd w:id="168"/>
    </w:p>
    <w:p w14:paraId="422E8643" w14:textId="77777777" w:rsidR="00402E51" w:rsidRDefault="00402E51" w:rsidP="00402E51">
      <w:pPr>
        <w:keepNext/>
      </w:pPr>
      <w:r>
        <w:rPr>
          <w:noProof/>
        </w:rPr>
        <w:drawing>
          <wp:inline distT="0" distB="0" distL="0" distR="0" wp14:anchorId="74CB1A69" wp14:editId="451ED99B">
            <wp:extent cx="2985911" cy="1679575"/>
            <wp:effectExtent l="0" t="0" r="5080" b="0"/>
            <wp:docPr id="254803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803252" name=""/>
                    <pic:cNvPicPr/>
                  </pic:nvPicPr>
                  <pic:blipFill>
                    <a:blip r:embed="rId40"/>
                    <a:stretch>
                      <a:fillRect/>
                    </a:stretch>
                  </pic:blipFill>
                  <pic:spPr>
                    <a:xfrm>
                      <a:off x="0" y="0"/>
                      <a:ext cx="2992843" cy="1683474"/>
                    </a:xfrm>
                    <a:prstGeom prst="rect">
                      <a:avLst/>
                    </a:prstGeom>
                  </pic:spPr>
                </pic:pic>
              </a:graphicData>
            </a:graphic>
          </wp:inline>
        </w:drawing>
      </w:r>
    </w:p>
    <w:p w14:paraId="09E8A3B9" w14:textId="0A4F2D90" w:rsidR="00402E51" w:rsidRPr="00402E51" w:rsidRDefault="00402E51" w:rsidP="00402E51">
      <w:pPr>
        <w:pStyle w:val="Caption"/>
      </w:pPr>
      <w:bookmarkStart w:id="169" w:name="_Toc237884391"/>
      <w:r>
        <w:t xml:space="preserve">Figure </w:t>
      </w:r>
      <w:fldSimple w:instr=" SEQ Figure \* ARABIC ">
        <w:r>
          <w:rPr>
            <w:noProof/>
          </w:rPr>
          <w:t>30</w:t>
        </w:r>
      </w:fldSimple>
      <w:r>
        <w:t xml:space="preserve">:FWBDP where most facts of lake </w:t>
      </w:r>
      <w:proofErr w:type="spellStart"/>
      <w:r>
        <w:t>wamala</w:t>
      </w:r>
      <w:proofErr w:type="spellEnd"/>
      <w:r>
        <w:t xml:space="preserve"> came from</w:t>
      </w:r>
      <w:bookmarkEnd w:id="169"/>
    </w:p>
    <w:sectPr w:rsidR="00402E51" w:rsidRPr="00402E51">
      <w:headerReference w:type="default" r:id="rId41"/>
      <w:footerReference w:type="default" r:id="rId42"/>
      <w:pgSz w:w="12240" w:h="15840"/>
      <w:pgMar w:top="1440" w:right="1440" w:bottom="1440" w:left="1440" w:header="708"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56F62" w14:textId="77777777" w:rsidR="00333F7F" w:rsidRDefault="00333F7F">
      <w:r>
        <w:separator/>
      </w:r>
    </w:p>
  </w:endnote>
  <w:endnote w:type="continuationSeparator" w:id="0">
    <w:p w14:paraId="3D3A0600" w14:textId="77777777" w:rsidR="00333F7F" w:rsidRDefault="00333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35A08" w14:textId="77777777" w:rsidR="007B6AAF" w:rsidRDefault="007B6AAF">
    <w:pPr>
      <w:jc w:val="center"/>
    </w:pPr>
    <w:r>
      <w:fldChar w:fldCharType="begin"/>
    </w:r>
    <w:r>
      <w:instrText>PAGE</w:instrText>
    </w:r>
    <w:r>
      <w:fldChar w:fldCharType="separate"/>
    </w:r>
    <w:r>
      <w:rPr>
        <w:noProof/>
      </w:rPr>
      <w:t>iii</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FD779" w14:textId="77777777" w:rsidR="007B6AAF" w:rsidRDefault="007B6AAF">
    <w:pPr>
      <w:jc w:val="center"/>
    </w:pPr>
    <w:r>
      <w:rPr>
        <w:sz w:val="18"/>
        <w:szCs w:val="18"/>
      </w:rPr>
      <w:t xml:space="preserve">Page </w:t>
    </w:r>
    <w:r>
      <w:rPr>
        <w:sz w:val="18"/>
        <w:szCs w:val="18"/>
      </w:rPr>
      <w:fldChar w:fldCharType="begin"/>
    </w:r>
    <w:r>
      <w:rPr>
        <w:sz w:val="18"/>
        <w:szCs w:val="18"/>
      </w:rPr>
      <w:instrText>PAGE</w:instrText>
    </w:r>
    <w:r>
      <w:rPr>
        <w:sz w:val="18"/>
        <w:szCs w:val="18"/>
      </w:rPr>
      <w:fldChar w:fldCharType="separate"/>
    </w:r>
    <w:r>
      <w:rPr>
        <w:noProof/>
        <w:sz w:val="18"/>
        <w:szCs w:val="18"/>
      </w:rPr>
      <w:t>3</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DB772" w14:textId="77777777" w:rsidR="00333F7F" w:rsidRDefault="00333F7F">
      <w:r>
        <w:separator/>
      </w:r>
    </w:p>
  </w:footnote>
  <w:footnote w:type="continuationSeparator" w:id="0">
    <w:p w14:paraId="4A3F5497" w14:textId="77777777" w:rsidR="00333F7F" w:rsidRDefault="00333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F3099" w14:textId="77777777" w:rsidR="007B6AAF" w:rsidRPr="00833C15" w:rsidRDefault="007B6AAF" w:rsidP="00833C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C7A8A"/>
    <w:multiLevelType w:val="hybridMultilevel"/>
    <w:tmpl w:val="B2E6C122"/>
    <w:lvl w:ilvl="0" w:tplc="AE94E1FA">
      <w:start w:val="1"/>
      <w:numFmt w:val="decimal"/>
      <w:lvlText w:val="%1."/>
      <w:lvlJc w:val="left"/>
      <w:pPr>
        <w:ind w:left="720" w:hanging="360"/>
      </w:pPr>
    </w:lvl>
    <w:lvl w:ilvl="1" w:tplc="D28CF396">
      <w:numFmt w:val="decimal"/>
      <w:lvlText w:val=""/>
      <w:lvlJc w:val="left"/>
    </w:lvl>
    <w:lvl w:ilvl="2" w:tplc="571A0AAE">
      <w:numFmt w:val="decimal"/>
      <w:lvlText w:val=""/>
      <w:lvlJc w:val="left"/>
    </w:lvl>
    <w:lvl w:ilvl="3" w:tplc="EF60F45C">
      <w:numFmt w:val="decimal"/>
      <w:lvlText w:val=""/>
      <w:lvlJc w:val="left"/>
    </w:lvl>
    <w:lvl w:ilvl="4" w:tplc="FBEAD034">
      <w:numFmt w:val="decimal"/>
      <w:lvlText w:val=""/>
      <w:lvlJc w:val="left"/>
    </w:lvl>
    <w:lvl w:ilvl="5" w:tplc="FE56BD58">
      <w:numFmt w:val="decimal"/>
      <w:lvlText w:val=""/>
      <w:lvlJc w:val="left"/>
    </w:lvl>
    <w:lvl w:ilvl="6" w:tplc="6C7E8A62">
      <w:numFmt w:val="decimal"/>
      <w:lvlText w:val=""/>
      <w:lvlJc w:val="left"/>
    </w:lvl>
    <w:lvl w:ilvl="7" w:tplc="75C215BC">
      <w:numFmt w:val="decimal"/>
      <w:lvlText w:val=""/>
      <w:lvlJc w:val="left"/>
    </w:lvl>
    <w:lvl w:ilvl="8" w:tplc="543A9E5A">
      <w:numFmt w:val="decimal"/>
      <w:lvlText w:val=""/>
      <w:lvlJc w:val="left"/>
    </w:lvl>
  </w:abstractNum>
  <w:abstractNum w:abstractNumId="1" w15:restartNumberingAfterBreak="0">
    <w:nsid w:val="0FE44373"/>
    <w:multiLevelType w:val="hybridMultilevel"/>
    <w:tmpl w:val="AA12FB9C"/>
    <w:lvl w:ilvl="0" w:tplc="2D72CFDE">
      <w:start w:val="1"/>
      <w:numFmt w:val="decimal"/>
      <w:lvlText w:val="%1."/>
      <w:lvlJc w:val="left"/>
      <w:pPr>
        <w:ind w:left="720" w:hanging="360"/>
      </w:pPr>
    </w:lvl>
    <w:lvl w:ilvl="1" w:tplc="383E2174">
      <w:numFmt w:val="decimal"/>
      <w:lvlText w:val=""/>
      <w:lvlJc w:val="left"/>
    </w:lvl>
    <w:lvl w:ilvl="2" w:tplc="D8CA4904">
      <w:numFmt w:val="decimal"/>
      <w:lvlText w:val=""/>
      <w:lvlJc w:val="left"/>
    </w:lvl>
    <w:lvl w:ilvl="3" w:tplc="A992C926">
      <w:numFmt w:val="decimal"/>
      <w:lvlText w:val=""/>
      <w:lvlJc w:val="left"/>
    </w:lvl>
    <w:lvl w:ilvl="4" w:tplc="679A1BFE">
      <w:numFmt w:val="decimal"/>
      <w:lvlText w:val=""/>
      <w:lvlJc w:val="left"/>
    </w:lvl>
    <w:lvl w:ilvl="5" w:tplc="2BAA9F1C">
      <w:numFmt w:val="decimal"/>
      <w:lvlText w:val=""/>
      <w:lvlJc w:val="left"/>
    </w:lvl>
    <w:lvl w:ilvl="6" w:tplc="7B48D6B2">
      <w:numFmt w:val="decimal"/>
      <w:lvlText w:val=""/>
      <w:lvlJc w:val="left"/>
    </w:lvl>
    <w:lvl w:ilvl="7" w:tplc="F1E47AF8">
      <w:numFmt w:val="decimal"/>
      <w:lvlText w:val=""/>
      <w:lvlJc w:val="left"/>
    </w:lvl>
    <w:lvl w:ilvl="8" w:tplc="E8466ED8">
      <w:numFmt w:val="decimal"/>
      <w:lvlText w:val=""/>
      <w:lvlJc w:val="left"/>
    </w:lvl>
  </w:abstractNum>
  <w:abstractNum w:abstractNumId="2" w15:restartNumberingAfterBreak="0">
    <w:nsid w:val="1DDE045F"/>
    <w:multiLevelType w:val="hybridMultilevel"/>
    <w:tmpl w:val="D68E7DAC"/>
    <w:lvl w:ilvl="0" w:tplc="8DAA4EE0">
      <w:start w:val="1"/>
      <w:numFmt w:val="bullet"/>
      <w:lvlText w:val="●"/>
      <w:lvlJc w:val="left"/>
      <w:pPr>
        <w:ind w:left="720" w:hanging="360"/>
      </w:pPr>
    </w:lvl>
    <w:lvl w:ilvl="1" w:tplc="40EACBAC">
      <w:start w:val="1"/>
      <w:numFmt w:val="bullet"/>
      <w:lvlText w:val="○"/>
      <w:lvlJc w:val="left"/>
      <w:pPr>
        <w:ind w:left="1440" w:hanging="360"/>
      </w:pPr>
    </w:lvl>
    <w:lvl w:ilvl="2" w:tplc="18143FA0">
      <w:start w:val="1"/>
      <w:numFmt w:val="bullet"/>
      <w:lvlText w:val="■"/>
      <w:lvlJc w:val="left"/>
      <w:pPr>
        <w:ind w:left="2160" w:hanging="360"/>
      </w:pPr>
    </w:lvl>
    <w:lvl w:ilvl="3" w:tplc="49386D94">
      <w:start w:val="1"/>
      <w:numFmt w:val="bullet"/>
      <w:lvlText w:val="●"/>
      <w:lvlJc w:val="left"/>
      <w:pPr>
        <w:ind w:left="2880" w:hanging="360"/>
      </w:pPr>
    </w:lvl>
    <w:lvl w:ilvl="4" w:tplc="5CE08B9C">
      <w:start w:val="1"/>
      <w:numFmt w:val="bullet"/>
      <w:lvlText w:val="○"/>
      <w:lvlJc w:val="left"/>
      <w:pPr>
        <w:ind w:left="3600" w:hanging="360"/>
      </w:pPr>
    </w:lvl>
    <w:lvl w:ilvl="5" w:tplc="7F28C41A">
      <w:start w:val="1"/>
      <w:numFmt w:val="bullet"/>
      <w:lvlText w:val="■"/>
      <w:lvlJc w:val="left"/>
      <w:pPr>
        <w:ind w:left="4320" w:hanging="360"/>
      </w:pPr>
    </w:lvl>
    <w:lvl w:ilvl="6" w:tplc="C076033C">
      <w:start w:val="1"/>
      <w:numFmt w:val="bullet"/>
      <w:lvlText w:val="●"/>
      <w:lvlJc w:val="left"/>
      <w:pPr>
        <w:ind w:left="5040" w:hanging="360"/>
      </w:pPr>
    </w:lvl>
    <w:lvl w:ilvl="7" w:tplc="7F36CCE4">
      <w:start w:val="1"/>
      <w:numFmt w:val="bullet"/>
      <w:lvlText w:val="●"/>
      <w:lvlJc w:val="left"/>
      <w:pPr>
        <w:ind w:left="5760" w:hanging="360"/>
      </w:pPr>
    </w:lvl>
    <w:lvl w:ilvl="8" w:tplc="CB8AEDC2">
      <w:start w:val="1"/>
      <w:numFmt w:val="bullet"/>
      <w:lvlText w:val="●"/>
      <w:lvlJc w:val="left"/>
      <w:pPr>
        <w:ind w:left="6480" w:hanging="360"/>
      </w:pPr>
    </w:lvl>
  </w:abstractNum>
  <w:abstractNum w:abstractNumId="3" w15:restartNumberingAfterBreak="0">
    <w:nsid w:val="23163BC6"/>
    <w:multiLevelType w:val="hybridMultilevel"/>
    <w:tmpl w:val="A4BC3C3C"/>
    <w:lvl w:ilvl="0" w:tplc="25048BCA">
      <w:start w:val="1"/>
      <w:numFmt w:val="decimal"/>
      <w:lvlText w:val="%1."/>
      <w:lvlJc w:val="left"/>
      <w:pPr>
        <w:ind w:left="720" w:hanging="360"/>
      </w:pPr>
    </w:lvl>
    <w:lvl w:ilvl="1" w:tplc="3176E512">
      <w:numFmt w:val="decimal"/>
      <w:lvlText w:val=""/>
      <w:lvlJc w:val="left"/>
    </w:lvl>
    <w:lvl w:ilvl="2" w:tplc="83D4D460">
      <w:numFmt w:val="decimal"/>
      <w:lvlText w:val=""/>
      <w:lvlJc w:val="left"/>
    </w:lvl>
    <w:lvl w:ilvl="3" w:tplc="E194662A">
      <w:numFmt w:val="decimal"/>
      <w:lvlText w:val=""/>
      <w:lvlJc w:val="left"/>
    </w:lvl>
    <w:lvl w:ilvl="4" w:tplc="C622B38C">
      <w:numFmt w:val="decimal"/>
      <w:lvlText w:val=""/>
      <w:lvlJc w:val="left"/>
    </w:lvl>
    <w:lvl w:ilvl="5" w:tplc="965CE09C">
      <w:numFmt w:val="decimal"/>
      <w:lvlText w:val=""/>
      <w:lvlJc w:val="left"/>
    </w:lvl>
    <w:lvl w:ilvl="6" w:tplc="517C56BA">
      <w:numFmt w:val="decimal"/>
      <w:lvlText w:val=""/>
      <w:lvlJc w:val="left"/>
    </w:lvl>
    <w:lvl w:ilvl="7" w:tplc="AB66053C">
      <w:numFmt w:val="decimal"/>
      <w:lvlText w:val=""/>
      <w:lvlJc w:val="left"/>
    </w:lvl>
    <w:lvl w:ilvl="8" w:tplc="4F200DC8">
      <w:numFmt w:val="decimal"/>
      <w:lvlText w:val=""/>
      <w:lvlJc w:val="left"/>
    </w:lvl>
  </w:abstractNum>
  <w:abstractNum w:abstractNumId="4" w15:restartNumberingAfterBreak="0">
    <w:nsid w:val="3C247C4E"/>
    <w:multiLevelType w:val="hybridMultilevel"/>
    <w:tmpl w:val="279A9724"/>
    <w:lvl w:ilvl="0" w:tplc="E780DB38">
      <w:start w:val="1"/>
      <w:numFmt w:val="decimal"/>
      <w:lvlText w:val="%1."/>
      <w:lvlJc w:val="left"/>
      <w:pPr>
        <w:ind w:left="720" w:hanging="360"/>
      </w:pPr>
    </w:lvl>
    <w:lvl w:ilvl="1" w:tplc="9F32E6A6">
      <w:numFmt w:val="decimal"/>
      <w:lvlText w:val=""/>
      <w:lvlJc w:val="left"/>
    </w:lvl>
    <w:lvl w:ilvl="2" w:tplc="FD16F938">
      <w:numFmt w:val="decimal"/>
      <w:lvlText w:val=""/>
      <w:lvlJc w:val="left"/>
    </w:lvl>
    <w:lvl w:ilvl="3" w:tplc="5D866452">
      <w:numFmt w:val="decimal"/>
      <w:lvlText w:val=""/>
      <w:lvlJc w:val="left"/>
    </w:lvl>
    <w:lvl w:ilvl="4" w:tplc="30441046">
      <w:numFmt w:val="decimal"/>
      <w:lvlText w:val=""/>
      <w:lvlJc w:val="left"/>
    </w:lvl>
    <w:lvl w:ilvl="5" w:tplc="98BCE45E">
      <w:numFmt w:val="decimal"/>
      <w:lvlText w:val=""/>
      <w:lvlJc w:val="left"/>
    </w:lvl>
    <w:lvl w:ilvl="6" w:tplc="91366222">
      <w:numFmt w:val="decimal"/>
      <w:lvlText w:val=""/>
      <w:lvlJc w:val="left"/>
    </w:lvl>
    <w:lvl w:ilvl="7" w:tplc="21AAEC34">
      <w:numFmt w:val="decimal"/>
      <w:lvlText w:val=""/>
      <w:lvlJc w:val="left"/>
    </w:lvl>
    <w:lvl w:ilvl="8" w:tplc="4ADADA6E">
      <w:numFmt w:val="decimal"/>
      <w:lvlText w:val=""/>
      <w:lvlJc w:val="left"/>
    </w:lvl>
  </w:abstractNum>
  <w:abstractNum w:abstractNumId="5" w15:restartNumberingAfterBreak="0">
    <w:nsid w:val="41A63F29"/>
    <w:multiLevelType w:val="hybridMultilevel"/>
    <w:tmpl w:val="AFACEB50"/>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 w15:restartNumberingAfterBreak="0">
    <w:nsid w:val="54655F64"/>
    <w:multiLevelType w:val="hybridMultilevel"/>
    <w:tmpl w:val="BA0E35EC"/>
    <w:lvl w:ilvl="0" w:tplc="2370E1DA">
      <w:start w:val="1"/>
      <w:numFmt w:val="decimal"/>
      <w:lvlText w:val="%1."/>
      <w:lvlJc w:val="left"/>
      <w:pPr>
        <w:ind w:left="720" w:hanging="360"/>
      </w:pPr>
    </w:lvl>
    <w:lvl w:ilvl="1" w:tplc="0860933A">
      <w:numFmt w:val="decimal"/>
      <w:lvlText w:val=""/>
      <w:lvlJc w:val="left"/>
    </w:lvl>
    <w:lvl w:ilvl="2" w:tplc="B8A8B172">
      <w:numFmt w:val="decimal"/>
      <w:lvlText w:val=""/>
      <w:lvlJc w:val="left"/>
    </w:lvl>
    <w:lvl w:ilvl="3" w:tplc="0C5ED12E">
      <w:numFmt w:val="decimal"/>
      <w:lvlText w:val=""/>
      <w:lvlJc w:val="left"/>
    </w:lvl>
    <w:lvl w:ilvl="4" w:tplc="7D60603C">
      <w:numFmt w:val="decimal"/>
      <w:lvlText w:val=""/>
      <w:lvlJc w:val="left"/>
    </w:lvl>
    <w:lvl w:ilvl="5" w:tplc="67827098">
      <w:numFmt w:val="decimal"/>
      <w:lvlText w:val=""/>
      <w:lvlJc w:val="left"/>
    </w:lvl>
    <w:lvl w:ilvl="6" w:tplc="0C7AE4E8">
      <w:numFmt w:val="decimal"/>
      <w:lvlText w:val=""/>
      <w:lvlJc w:val="left"/>
    </w:lvl>
    <w:lvl w:ilvl="7" w:tplc="4B5A1960">
      <w:numFmt w:val="decimal"/>
      <w:lvlText w:val=""/>
      <w:lvlJc w:val="left"/>
    </w:lvl>
    <w:lvl w:ilvl="8" w:tplc="C70E1942">
      <w:numFmt w:val="decimal"/>
      <w:lvlText w:val=""/>
      <w:lvlJc w:val="left"/>
    </w:lvl>
  </w:abstractNum>
  <w:abstractNum w:abstractNumId="7" w15:restartNumberingAfterBreak="0">
    <w:nsid w:val="550F7865"/>
    <w:multiLevelType w:val="hybridMultilevel"/>
    <w:tmpl w:val="FE3A8072"/>
    <w:lvl w:ilvl="0" w:tplc="03040B6C">
      <w:start w:val="1"/>
      <w:numFmt w:val="decimal"/>
      <w:lvlText w:val="%1."/>
      <w:lvlJc w:val="left"/>
      <w:pPr>
        <w:ind w:left="720" w:hanging="360"/>
      </w:pPr>
    </w:lvl>
    <w:lvl w:ilvl="1" w:tplc="7C541054">
      <w:numFmt w:val="decimal"/>
      <w:lvlText w:val=""/>
      <w:lvlJc w:val="left"/>
    </w:lvl>
    <w:lvl w:ilvl="2" w:tplc="CC66E5D0">
      <w:numFmt w:val="decimal"/>
      <w:lvlText w:val=""/>
      <w:lvlJc w:val="left"/>
    </w:lvl>
    <w:lvl w:ilvl="3" w:tplc="056EC00A">
      <w:numFmt w:val="decimal"/>
      <w:lvlText w:val=""/>
      <w:lvlJc w:val="left"/>
    </w:lvl>
    <w:lvl w:ilvl="4" w:tplc="B87C26EE">
      <w:numFmt w:val="decimal"/>
      <w:lvlText w:val=""/>
      <w:lvlJc w:val="left"/>
    </w:lvl>
    <w:lvl w:ilvl="5" w:tplc="D1CABD5A">
      <w:numFmt w:val="decimal"/>
      <w:lvlText w:val=""/>
      <w:lvlJc w:val="left"/>
    </w:lvl>
    <w:lvl w:ilvl="6" w:tplc="DD8013DC">
      <w:numFmt w:val="decimal"/>
      <w:lvlText w:val=""/>
      <w:lvlJc w:val="left"/>
    </w:lvl>
    <w:lvl w:ilvl="7" w:tplc="4226287C">
      <w:numFmt w:val="decimal"/>
      <w:lvlText w:val=""/>
      <w:lvlJc w:val="left"/>
    </w:lvl>
    <w:lvl w:ilvl="8" w:tplc="87044834">
      <w:numFmt w:val="decimal"/>
      <w:lvlText w:val=""/>
      <w:lvlJc w:val="left"/>
    </w:lvl>
  </w:abstractNum>
  <w:abstractNum w:abstractNumId="8" w15:restartNumberingAfterBreak="0">
    <w:nsid w:val="5AE71332"/>
    <w:multiLevelType w:val="hybridMultilevel"/>
    <w:tmpl w:val="1750D4FC"/>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9" w15:restartNumberingAfterBreak="0">
    <w:nsid w:val="602113C1"/>
    <w:multiLevelType w:val="hybridMultilevel"/>
    <w:tmpl w:val="2BFCAF9E"/>
    <w:lvl w:ilvl="0" w:tplc="A2F89636">
      <w:start w:val="1"/>
      <w:numFmt w:val="lowerRoman"/>
      <w:lvlText w:val="(%1)"/>
      <w:lvlJc w:val="left"/>
      <w:pPr>
        <w:ind w:left="1510" w:hanging="720"/>
      </w:pPr>
      <w:rPr>
        <w:rFonts w:hint="default"/>
      </w:rPr>
    </w:lvl>
    <w:lvl w:ilvl="1" w:tplc="0C000019" w:tentative="1">
      <w:start w:val="1"/>
      <w:numFmt w:val="lowerLetter"/>
      <w:lvlText w:val="%2."/>
      <w:lvlJc w:val="left"/>
      <w:pPr>
        <w:ind w:left="1870" w:hanging="360"/>
      </w:pPr>
    </w:lvl>
    <w:lvl w:ilvl="2" w:tplc="0C00001B" w:tentative="1">
      <w:start w:val="1"/>
      <w:numFmt w:val="lowerRoman"/>
      <w:lvlText w:val="%3."/>
      <w:lvlJc w:val="right"/>
      <w:pPr>
        <w:ind w:left="2590" w:hanging="180"/>
      </w:pPr>
    </w:lvl>
    <w:lvl w:ilvl="3" w:tplc="0C00000F" w:tentative="1">
      <w:start w:val="1"/>
      <w:numFmt w:val="decimal"/>
      <w:lvlText w:val="%4."/>
      <w:lvlJc w:val="left"/>
      <w:pPr>
        <w:ind w:left="3310" w:hanging="360"/>
      </w:pPr>
    </w:lvl>
    <w:lvl w:ilvl="4" w:tplc="0C000019" w:tentative="1">
      <w:start w:val="1"/>
      <w:numFmt w:val="lowerLetter"/>
      <w:lvlText w:val="%5."/>
      <w:lvlJc w:val="left"/>
      <w:pPr>
        <w:ind w:left="4030" w:hanging="360"/>
      </w:pPr>
    </w:lvl>
    <w:lvl w:ilvl="5" w:tplc="0C00001B" w:tentative="1">
      <w:start w:val="1"/>
      <w:numFmt w:val="lowerRoman"/>
      <w:lvlText w:val="%6."/>
      <w:lvlJc w:val="right"/>
      <w:pPr>
        <w:ind w:left="4750" w:hanging="180"/>
      </w:pPr>
    </w:lvl>
    <w:lvl w:ilvl="6" w:tplc="0C00000F" w:tentative="1">
      <w:start w:val="1"/>
      <w:numFmt w:val="decimal"/>
      <w:lvlText w:val="%7."/>
      <w:lvlJc w:val="left"/>
      <w:pPr>
        <w:ind w:left="5470" w:hanging="360"/>
      </w:pPr>
    </w:lvl>
    <w:lvl w:ilvl="7" w:tplc="0C000019" w:tentative="1">
      <w:start w:val="1"/>
      <w:numFmt w:val="lowerLetter"/>
      <w:lvlText w:val="%8."/>
      <w:lvlJc w:val="left"/>
      <w:pPr>
        <w:ind w:left="6190" w:hanging="360"/>
      </w:pPr>
    </w:lvl>
    <w:lvl w:ilvl="8" w:tplc="0C00001B" w:tentative="1">
      <w:start w:val="1"/>
      <w:numFmt w:val="lowerRoman"/>
      <w:lvlText w:val="%9."/>
      <w:lvlJc w:val="right"/>
      <w:pPr>
        <w:ind w:left="6910" w:hanging="180"/>
      </w:pPr>
    </w:lvl>
  </w:abstractNum>
  <w:abstractNum w:abstractNumId="10" w15:restartNumberingAfterBreak="0">
    <w:nsid w:val="62F340B9"/>
    <w:multiLevelType w:val="hybridMultilevel"/>
    <w:tmpl w:val="911206F0"/>
    <w:lvl w:ilvl="0" w:tplc="7D56CC34">
      <w:start w:val="1"/>
      <w:numFmt w:val="bullet"/>
      <w:lvlText w:val="•"/>
      <w:lvlJc w:val="left"/>
      <w:pPr>
        <w:ind w:left="720" w:hanging="360"/>
      </w:pPr>
    </w:lvl>
    <w:lvl w:ilvl="1" w:tplc="782E12D8">
      <w:numFmt w:val="decimal"/>
      <w:lvlText w:val=""/>
      <w:lvlJc w:val="left"/>
    </w:lvl>
    <w:lvl w:ilvl="2" w:tplc="45B6CA6C">
      <w:numFmt w:val="decimal"/>
      <w:lvlText w:val=""/>
      <w:lvlJc w:val="left"/>
    </w:lvl>
    <w:lvl w:ilvl="3" w:tplc="43F47310">
      <w:numFmt w:val="decimal"/>
      <w:lvlText w:val=""/>
      <w:lvlJc w:val="left"/>
    </w:lvl>
    <w:lvl w:ilvl="4" w:tplc="99EED7C8">
      <w:numFmt w:val="decimal"/>
      <w:lvlText w:val=""/>
      <w:lvlJc w:val="left"/>
    </w:lvl>
    <w:lvl w:ilvl="5" w:tplc="9BCA0832">
      <w:numFmt w:val="decimal"/>
      <w:lvlText w:val=""/>
      <w:lvlJc w:val="left"/>
    </w:lvl>
    <w:lvl w:ilvl="6" w:tplc="A7AE2B7A">
      <w:numFmt w:val="decimal"/>
      <w:lvlText w:val=""/>
      <w:lvlJc w:val="left"/>
    </w:lvl>
    <w:lvl w:ilvl="7" w:tplc="35CC344A">
      <w:numFmt w:val="decimal"/>
      <w:lvlText w:val=""/>
      <w:lvlJc w:val="left"/>
    </w:lvl>
    <w:lvl w:ilvl="8" w:tplc="770CA8BE">
      <w:numFmt w:val="decimal"/>
      <w:lvlText w:val=""/>
      <w:lvlJc w:val="left"/>
    </w:lvl>
  </w:abstractNum>
  <w:num w:numId="1" w16cid:durableId="1353844627">
    <w:abstractNumId w:val="2"/>
    <w:lvlOverride w:ilvl="0">
      <w:startOverride w:val="1"/>
    </w:lvlOverride>
  </w:num>
  <w:num w:numId="2" w16cid:durableId="2049139175">
    <w:abstractNumId w:val="6"/>
    <w:lvlOverride w:ilvl="0">
      <w:startOverride w:val="1"/>
    </w:lvlOverride>
  </w:num>
  <w:num w:numId="3" w16cid:durableId="1742214803">
    <w:abstractNumId w:val="1"/>
    <w:lvlOverride w:ilvl="0">
      <w:startOverride w:val="1"/>
    </w:lvlOverride>
  </w:num>
  <w:num w:numId="4" w16cid:durableId="1553692911">
    <w:abstractNumId w:val="10"/>
    <w:lvlOverride w:ilvl="0">
      <w:startOverride w:val="1"/>
    </w:lvlOverride>
  </w:num>
  <w:num w:numId="5" w16cid:durableId="74474897">
    <w:abstractNumId w:val="7"/>
    <w:lvlOverride w:ilvl="0">
      <w:startOverride w:val="1"/>
    </w:lvlOverride>
  </w:num>
  <w:num w:numId="6" w16cid:durableId="330527245">
    <w:abstractNumId w:val="0"/>
    <w:lvlOverride w:ilvl="0">
      <w:startOverride w:val="1"/>
    </w:lvlOverride>
  </w:num>
  <w:num w:numId="7" w16cid:durableId="1060372621">
    <w:abstractNumId w:val="3"/>
    <w:lvlOverride w:ilvl="0">
      <w:startOverride w:val="1"/>
    </w:lvlOverride>
  </w:num>
  <w:num w:numId="8" w16cid:durableId="836383951">
    <w:abstractNumId w:val="9"/>
  </w:num>
  <w:num w:numId="9" w16cid:durableId="1010449849">
    <w:abstractNumId w:val="8"/>
  </w:num>
  <w:num w:numId="10" w16cid:durableId="582919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109"/>
    <w:rsid w:val="00000DC4"/>
    <w:rsid w:val="000210E1"/>
    <w:rsid w:val="00076579"/>
    <w:rsid w:val="000B4A5A"/>
    <w:rsid w:val="000D598F"/>
    <w:rsid w:val="000F0E49"/>
    <w:rsid w:val="001252BB"/>
    <w:rsid w:val="0013155E"/>
    <w:rsid w:val="0014738B"/>
    <w:rsid w:val="00163EDD"/>
    <w:rsid w:val="00165F40"/>
    <w:rsid w:val="001C24A6"/>
    <w:rsid w:val="001E2C6F"/>
    <w:rsid w:val="0025010C"/>
    <w:rsid w:val="00265BA9"/>
    <w:rsid w:val="00266190"/>
    <w:rsid w:val="00271B51"/>
    <w:rsid w:val="00272E08"/>
    <w:rsid w:val="00321A41"/>
    <w:rsid w:val="00333F7F"/>
    <w:rsid w:val="00345BBD"/>
    <w:rsid w:val="00352C77"/>
    <w:rsid w:val="0038279B"/>
    <w:rsid w:val="003E014F"/>
    <w:rsid w:val="003F30FB"/>
    <w:rsid w:val="00402E51"/>
    <w:rsid w:val="0040559E"/>
    <w:rsid w:val="00414D2A"/>
    <w:rsid w:val="00421B00"/>
    <w:rsid w:val="00472331"/>
    <w:rsid w:val="00513268"/>
    <w:rsid w:val="00572EC9"/>
    <w:rsid w:val="0057577D"/>
    <w:rsid w:val="00594ED0"/>
    <w:rsid w:val="005B14F2"/>
    <w:rsid w:val="0060435A"/>
    <w:rsid w:val="00610490"/>
    <w:rsid w:val="00611175"/>
    <w:rsid w:val="00614286"/>
    <w:rsid w:val="006369DB"/>
    <w:rsid w:val="00651A0A"/>
    <w:rsid w:val="006A37B2"/>
    <w:rsid w:val="00712624"/>
    <w:rsid w:val="00756CB0"/>
    <w:rsid w:val="007931D0"/>
    <w:rsid w:val="007B6AAF"/>
    <w:rsid w:val="007E6326"/>
    <w:rsid w:val="00807BD8"/>
    <w:rsid w:val="00833C15"/>
    <w:rsid w:val="00842CA2"/>
    <w:rsid w:val="008728F6"/>
    <w:rsid w:val="00893E6E"/>
    <w:rsid w:val="008B5BD9"/>
    <w:rsid w:val="008C3750"/>
    <w:rsid w:val="008F6DC7"/>
    <w:rsid w:val="0095240B"/>
    <w:rsid w:val="009658D1"/>
    <w:rsid w:val="009956FC"/>
    <w:rsid w:val="009A5CFA"/>
    <w:rsid w:val="009F305A"/>
    <w:rsid w:val="00A623D5"/>
    <w:rsid w:val="00A82761"/>
    <w:rsid w:val="00B32C0A"/>
    <w:rsid w:val="00B425B3"/>
    <w:rsid w:val="00B5379C"/>
    <w:rsid w:val="00B740FA"/>
    <w:rsid w:val="00B80CAE"/>
    <w:rsid w:val="00B9027D"/>
    <w:rsid w:val="00BB0CEE"/>
    <w:rsid w:val="00BC1555"/>
    <w:rsid w:val="00C34CCA"/>
    <w:rsid w:val="00C7614C"/>
    <w:rsid w:val="00CC393B"/>
    <w:rsid w:val="00CC395F"/>
    <w:rsid w:val="00CE7998"/>
    <w:rsid w:val="00CF0628"/>
    <w:rsid w:val="00D226C5"/>
    <w:rsid w:val="00D238FF"/>
    <w:rsid w:val="00DB0109"/>
    <w:rsid w:val="00DD139C"/>
    <w:rsid w:val="00DD16D2"/>
    <w:rsid w:val="00DF0C42"/>
    <w:rsid w:val="00DF17BA"/>
    <w:rsid w:val="00E10C85"/>
    <w:rsid w:val="00E27F0F"/>
    <w:rsid w:val="00E372F0"/>
    <w:rsid w:val="00E6390B"/>
    <w:rsid w:val="00E67C34"/>
    <w:rsid w:val="00E92C31"/>
    <w:rsid w:val="00E975AD"/>
    <w:rsid w:val="00ED74CA"/>
    <w:rsid w:val="00EE4D02"/>
    <w:rsid w:val="00F3374C"/>
    <w:rsid w:val="00F33EFD"/>
    <w:rsid w:val="00F65E0C"/>
    <w:rsid w:val="00F663D9"/>
    <w:rsid w:val="00FF2CA1"/>
    <w:rsid w:val="00FF60B0"/>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71C98"/>
  <w15:docId w15:val="{E378AC68-9B6B-48DB-98A9-382E045D3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G" w:eastAsia="en-U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280" w:after="200"/>
      <w:outlineLvl w:val="0"/>
    </w:pPr>
    <w:rPr>
      <w:b/>
      <w:bCs/>
      <w:color w:val="000000"/>
      <w:sz w:val="30"/>
      <w:szCs w:val="30"/>
    </w:rPr>
  </w:style>
  <w:style w:type="paragraph" w:styleId="Heading2">
    <w:name w:val="heading 2"/>
    <w:uiPriority w:val="9"/>
    <w:unhideWhenUsed/>
    <w:qFormat/>
    <w:pPr>
      <w:keepNext/>
      <w:spacing w:before="220" w:after="120"/>
      <w:outlineLvl w:val="1"/>
    </w:pPr>
    <w:rPr>
      <w:b/>
      <w:bCs/>
      <w:color w:val="000000"/>
      <w:sz w:val="26"/>
      <w:szCs w:val="26"/>
    </w:rPr>
  </w:style>
  <w:style w:type="paragraph" w:styleId="Heading3">
    <w:name w:val="heading 3"/>
    <w:uiPriority w:val="9"/>
    <w:unhideWhenUsed/>
    <w:qFormat/>
    <w:pPr>
      <w:keepNext/>
      <w:spacing w:before="160" w:after="100"/>
      <w:outlineLvl w:val="2"/>
    </w:pPr>
    <w:rPr>
      <w:b/>
      <w:bCs/>
      <w:i/>
      <w:iCs/>
      <w:color w:val="000000"/>
    </w:rPr>
  </w:style>
  <w:style w:type="paragraph" w:styleId="Heading4">
    <w:name w:val="heading 4"/>
    <w:uiPriority w:val="9"/>
    <w:semiHidden/>
    <w:unhideWhenUsed/>
    <w:qFormat/>
    <w:pPr>
      <w:outlineLvl w:val="3"/>
    </w:pPr>
    <w:rPr>
      <w:i/>
      <w:iCs/>
      <w:color w:val="000000"/>
    </w:rPr>
  </w:style>
  <w:style w:type="paragraph" w:styleId="Heading5">
    <w:name w:val="heading 5"/>
    <w:uiPriority w:val="9"/>
    <w:semiHidden/>
    <w:unhideWhenUsed/>
    <w:qFormat/>
    <w:pPr>
      <w:outlineLvl w:val="4"/>
    </w:pPr>
    <w:rPr>
      <w:color w:val="000000"/>
    </w:rPr>
  </w:style>
  <w:style w:type="paragraph" w:styleId="Heading6">
    <w:name w:val="heading 6"/>
    <w:uiPriority w:val="9"/>
    <w:semiHidden/>
    <w:unhideWhenUsed/>
    <w:qFormat/>
    <w:pPr>
      <w:outlineLvl w:val="5"/>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8B5BD9"/>
    <w:pPr>
      <w:spacing w:after="100"/>
    </w:pPr>
  </w:style>
  <w:style w:type="paragraph" w:styleId="TOC2">
    <w:name w:val="toc 2"/>
    <w:basedOn w:val="Normal"/>
    <w:next w:val="Normal"/>
    <w:autoRedefine/>
    <w:uiPriority w:val="39"/>
    <w:unhideWhenUsed/>
    <w:rsid w:val="008B5BD9"/>
    <w:pPr>
      <w:spacing w:after="100"/>
      <w:ind w:left="240"/>
    </w:pPr>
  </w:style>
  <w:style w:type="paragraph" w:styleId="TOC3">
    <w:name w:val="toc 3"/>
    <w:basedOn w:val="Normal"/>
    <w:next w:val="Normal"/>
    <w:autoRedefine/>
    <w:uiPriority w:val="39"/>
    <w:unhideWhenUsed/>
    <w:rsid w:val="008B5BD9"/>
    <w:pPr>
      <w:spacing w:after="100"/>
      <w:ind w:left="480"/>
    </w:pPr>
  </w:style>
  <w:style w:type="paragraph" w:styleId="TOC4">
    <w:name w:val="toc 4"/>
    <w:basedOn w:val="Normal"/>
    <w:next w:val="Normal"/>
    <w:autoRedefine/>
    <w:uiPriority w:val="39"/>
    <w:unhideWhenUsed/>
    <w:rsid w:val="0025010C"/>
    <w:pPr>
      <w:spacing w:after="100" w:line="278" w:lineRule="auto"/>
      <w:ind w:left="720"/>
    </w:pPr>
    <w:rPr>
      <w:rFonts w:asciiTheme="minorHAnsi" w:eastAsiaTheme="minorEastAsia" w:hAnsiTheme="minorHAnsi" w:cstheme="minorBidi"/>
      <w:kern w:val="2"/>
      <w14:ligatures w14:val="standardContextual"/>
    </w:rPr>
  </w:style>
  <w:style w:type="paragraph" w:styleId="TOC5">
    <w:name w:val="toc 5"/>
    <w:basedOn w:val="Normal"/>
    <w:next w:val="Normal"/>
    <w:autoRedefine/>
    <w:uiPriority w:val="39"/>
    <w:unhideWhenUsed/>
    <w:rsid w:val="0025010C"/>
    <w:pPr>
      <w:spacing w:after="100" w:line="278" w:lineRule="auto"/>
      <w:ind w:left="96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25010C"/>
    <w:pPr>
      <w:spacing w:after="100" w:line="278"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25010C"/>
    <w:pPr>
      <w:spacing w:after="100" w:line="278"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25010C"/>
    <w:pPr>
      <w:spacing w:after="100" w:line="278" w:lineRule="auto"/>
      <w:ind w:left="168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25010C"/>
    <w:pPr>
      <w:spacing w:after="100" w:line="278" w:lineRule="auto"/>
      <w:ind w:left="1920"/>
    </w:pPr>
    <w:rPr>
      <w:rFonts w:asciiTheme="minorHAnsi" w:eastAsiaTheme="minorEastAsia" w:hAnsiTheme="minorHAnsi" w:cstheme="minorBidi"/>
      <w:kern w:val="2"/>
      <w14:ligatures w14:val="standardContextual"/>
    </w:rPr>
  </w:style>
  <w:style w:type="character" w:styleId="UnresolvedMention">
    <w:name w:val="Unresolved Mention"/>
    <w:basedOn w:val="DefaultParagraphFont"/>
    <w:uiPriority w:val="99"/>
    <w:semiHidden/>
    <w:unhideWhenUsed/>
    <w:rsid w:val="0025010C"/>
    <w:rPr>
      <w:color w:val="605E5C"/>
      <w:shd w:val="clear" w:color="auto" w:fill="E1DFDD"/>
    </w:rPr>
  </w:style>
  <w:style w:type="paragraph" w:styleId="Header">
    <w:name w:val="header"/>
    <w:basedOn w:val="Normal"/>
    <w:link w:val="HeaderChar"/>
    <w:uiPriority w:val="99"/>
    <w:unhideWhenUsed/>
    <w:rsid w:val="00C7614C"/>
    <w:pPr>
      <w:tabs>
        <w:tab w:val="center" w:pos="4680"/>
        <w:tab w:val="right" w:pos="9360"/>
      </w:tabs>
    </w:pPr>
  </w:style>
  <w:style w:type="character" w:customStyle="1" w:styleId="HeaderChar">
    <w:name w:val="Header Char"/>
    <w:basedOn w:val="DefaultParagraphFont"/>
    <w:link w:val="Header"/>
    <w:uiPriority w:val="99"/>
    <w:rsid w:val="00C7614C"/>
  </w:style>
  <w:style w:type="paragraph" w:styleId="Footer">
    <w:name w:val="footer"/>
    <w:basedOn w:val="Normal"/>
    <w:link w:val="FooterChar"/>
    <w:uiPriority w:val="99"/>
    <w:unhideWhenUsed/>
    <w:rsid w:val="00C7614C"/>
    <w:pPr>
      <w:tabs>
        <w:tab w:val="center" w:pos="4680"/>
        <w:tab w:val="right" w:pos="9360"/>
      </w:tabs>
    </w:pPr>
  </w:style>
  <w:style w:type="character" w:customStyle="1" w:styleId="FooterChar">
    <w:name w:val="Footer Char"/>
    <w:basedOn w:val="DefaultParagraphFont"/>
    <w:link w:val="Footer"/>
    <w:uiPriority w:val="99"/>
    <w:rsid w:val="00C7614C"/>
  </w:style>
  <w:style w:type="paragraph" w:styleId="Caption">
    <w:name w:val="caption"/>
    <w:basedOn w:val="Normal"/>
    <w:next w:val="Normal"/>
    <w:uiPriority w:val="35"/>
    <w:unhideWhenUsed/>
    <w:qFormat/>
    <w:rsid w:val="006369DB"/>
    <w:pPr>
      <w:spacing w:after="200"/>
    </w:pPr>
    <w:rPr>
      <w:i/>
      <w:iCs/>
      <w:color w:val="44546A" w:themeColor="text2"/>
      <w:sz w:val="18"/>
      <w:szCs w:val="18"/>
    </w:rPr>
  </w:style>
  <w:style w:type="paragraph" w:styleId="TableofFigures">
    <w:name w:val="table of figures"/>
    <w:basedOn w:val="Normal"/>
    <w:next w:val="Normal"/>
    <w:uiPriority w:val="99"/>
    <w:unhideWhenUsed/>
    <w:rsid w:val="00F65E0C"/>
  </w:style>
  <w:style w:type="character" w:styleId="PlaceholderText">
    <w:name w:val="Placeholder Text"/>
    <w:basedOn w:val="DefaultParagraphFont"/>
    <w:uiPriority w:val="99"/>
    <w:semiHidden/>
    <w:rsid w:val="0013155E"/>
    <w:rPr>
      <w:color w:val="666666"/>
    </w:rPr>
  </w:style>
  <w:style w:type="paragraph" w:styleId="BalloonText">
    <w:name w:val="Balloon Text"/>
    <w:basedOn w:val="Normal"/>
    <w:link w:val="BalloonTextChar"/>
    <w:uiPriority w:val="99"/>
    <w:semiHidden/>
    <w:unhideWhenUsed/>
    <w:rsid w:val="007B6A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AAF"/>
    <w:rPr>
      <w:rFonts w:ascii="Segoe UI" w:hAnsi="Segoe UI" w:cs="Segoe UI"/>
      <w:sz w:val="18"/>
      <w:szCs w:val="18"/>
    </w:rPr>
  </w:style>
  <w:style w:type="character" w:styleId="CommentReference">
    <w:name w:val="annotation reference"/>
    <w:basedOn w:val="DefaultParagraphFont"/>
    <w:uiPriority w:val="99"/>
    <w:semiHidden/>
    <w:unhideWhenUsed/>
    <w:rsid w:val="007B6AAF"/>
    <w:rPr>
      <w:sz w:val="16"/>
      <w:szCs w:val="16"/>
    </w:rPr>
  </w:style>
  <w:style w:type="paragraph" w:styleId="CommentText">
    <w:name w:val="annotation text"/>
    <w:basedOn w:val="Normal"/>
    <w:link w:val="CommentTextChar"/>
    <w:uiPriority w:val="99"/>
    <w:semiHidden/>
    <w:unhideWhenUsed/>
    <w:rsid w:val="007B6AAF"/>
    <w:rPr>
      <w:sz w:val="20"/>
      <w:szCs w:val="20"/>
    </w:rPr>
  </w:style>
  <w:style w:type="character" w:customStyle="1" w:styleId="CommentTextChar">
    <w:name w:val="Comment Text Char"/>
    <w:basedOn w:val="DefaultParagraphFont"/>
    <w:link w:val="CommentText"/>
    <w:uiPriority w:val="99"/>
    <w:semiHidden/>
    <w:rsid w:val="007B6AAF"/>
    <w:rPr>
      <w:sz w:val="20"/>
      <w:szCs w:val="20"/>
    </w:rPr>
  </w:style>
  <w:style w:type="paragraph" w:styleId="CommentSubject">
    <w:name w:val="annotation subject"/>
    <w:basedOn w:val="CommentText"/>
    <w:next w:val="CommentText"/>
    <w:link w:val="CommentSubjectChar"/>
    <w:uiPriority w:val="99"/>
    <w:semiHidden/>
    <w:unhideWhenUsed/>
    <w:rsid w:val="007B6AAF"/>
    <w:rPr>
      <w:b/>
      <w:bCs/>
    </w:rPr>
  </w:style>
  <w:style w:type="character" w:customStyle="1" w:styleId="CommentSubjectChar">
    <w:name w:val="Comment Subject Char"/>
    <w:basedOn w:val="CommentTextChar"/>
    <w:link w:val="CommentSubject"/>
    <w:uiPriority w:val="99"/>
    <w:semiHidden/>
    <w:rsid w:val="007B6AAF"/>
    <w:rPr>
      <w:b/>
      <w:bCs/>
      <w:sz w:val="20"/>
      <w:szCs w:val="20"/>
    </w:rPr>
  </w:style>
  <w:style w:type="paragraph" w:styleId="Revision">
    <w:name w:val="Revision"/>
    <w:hidden/>
    <w:uiPriority w:val="99"/>
    <w:semiHidden/>
    <w:rsid w:val="00F66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7352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footer" Target="footer1.xml"/><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{1D4EA72F-498E-4D6E-B7C9-9A9DF7411657}</b:Guid>
    <b:RefOrder>1</b:RefOrder>
  </b:Source>
</b:Sources>
</file>

<file path=customXml/itemProps1.xml><?xml version="1.0" encoding="utf-8"?>
<ds:datastoreItem xmlns:ds="http://schemas.openxmlformats.org/officeDocument/2006/customXml" ds:itemID="{1E37C2DD-D628-425A-AF01-4800A9A2D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88</Pages>
  <Words>43026</Words>
  <Characters>245252</Characters>
  <Application>Microsoft Office Word</Application>
  <DocSecurity>0</DocSecurity>
  <Lines>2043</Lines>
  <Paragraphs>575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OSCAR GODFREY</cp:lastModifiedBy>
  <cp:revision>5</cp:revision>
  <cp:lastPrinted>2026-07-07T05:41:00Z</cp:lastPrinted>
  <dcterms:created xsi:type="dcterms:W3CDTF">2026-08-11T15:43:00Z</dcterms:created>
  <dcterms:modified xsi:type="dcterms:W3CDTF">2026-08-17T20:44:00Z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5803d0ec-07d4-3eaa-b1d0-938cf4f7dd62</vt:lpwstr>
  </property>
</Properties>
</file>